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FA" w:rsidRPr="00B10E9A" w:rsidRDefault="000D5078" w:rsidP="00B10E9A">
      <w:pPr>
        <w:jc w:val="center"/>
        <w:rPr>
          <w:rFonts w:ascii="Traditional Arabic" w:hAnsi="Traditional Arabic" w:cs="Traditional Arabic" w:hint="cs"/>
          <w:b/>
          <w:bCs/>
          <w:sz w:val="32"/>
          <w:szCs w:val="32"/>
          <w:rtl/>
          <w:lang w:bidi="ar-EG"/>
        </w:rPr>
      </w:pPr>
      <w:r w:rsidRPr="00B10E9A">
        <w:rPr>
          <w:rFonts w:ascii="Traditional Arabic" w:hAnsi="Traditional Arabic" w:cs="Traditional Arabic"/>
          <w:b/>
          <w:bCs/>
          <w:sz w:val="32"/>
          <w:szCs w:val="32"/>
          <w:rtl/>
          <w:lang w:bidi="ar-EG"/>
        </w:rPr>
        <w:t>أسباب</w:t>
      </w:r>
      <w:r w:rsidRPr="00B10E9A">
        <w:rPr>
          <w:rFonts w:ascii="Traditional Arabic" w:hAnsi="Traditional Arabic" w:cs="Traditional Arabic" w:hint="cs"/>
          <w:b/>
          <w:bCs/>
          <w:sz w:val="32"/>
          <w:szCs w:val="32"/>
          <w:rtl/>
          <w:lang w:bidi="ar-EG"/>
        </w:rPr>
        <w:t xml:space="preserve"> الانحراف عن العقيدة ووسائل الوقاية</w:t>
      </w:r>
    </w:p>
    <w:p w:rsidR="00B10E9A" w:rsidRDefault="000D5078" w:rsidP="000D5078">
      <w:pPr>
        <w:rPr>
          <w:rFonts w:ascii="Traditional Arabic" w:hAnsi="Traditional Arabic" w:cs="Traditional Arabic" w:hint="cs"/>
          <w:sz w:val="32"/>
          <w:szCs w:val="32"/>
          <w:rtl/>
          <w:lang w:bidi="ar-EG"/>
        </w:rPr>
      </w:pPr>
      <w:r>
        <w:rPr>
          <w:rFonts w:ascii="Traditional Arabic" w:hAnsi="Traditional Arabic" w:cs="Traditional Arabic" w:hint="cs"/>
          <w:sz w:val="32"/>
          <w:szCs w:val="32"/>
          <w:rtl/>
          <w:lang w:bidi="ar-EG"/>
        </w:rPr>
        <w:t>عن عياض المجاشعي رضي الله عنه قال: قال رسول الله صلى الله عليه وسلم: "</w:t>
      </w:r>
      <w:r w:rsidRPr="000D5078">
        <w:rPr>
          <w:rFonts w:ascii="Traditional Arabic" w:hAnsi="Traditional Arabic" w:cs="Traditional Arabic" w:hint="cs"/>
          <w:sz w:val="32"/>
          <w:szCs w:val="32"/>
          <w:rtl/>
          <w:lang w:bidi="ar-EG"/>
        </w:rPr>
        <w:t>ألا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إن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ربي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أمرني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أعلمكم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جهلتم،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مما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علمني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يومي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هذا،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كل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مال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نحلته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عبدا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حلال،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وإني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خلقت</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عبادي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حنفاء</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كلهم،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وإنهم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أتتهم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الشياطين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فاجتالتهم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دينهم،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وحرمت</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عليهم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أحللت</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وأمرتهم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يشركوا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بي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أنزل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به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سلطانا،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وإن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الله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نظر</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إلى</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أهل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الأرض،</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فمقتهم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عربهم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وعجمهم،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إلا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بقايا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أهل</w:t>
      </w:r>
      <w:r w:rsidRPr="000D5078">
        <w:rPr>
          <w:rFonts w:ascii="Traditional Arabic" w:hAnsi="Traditional Arabic" w:cs="Traditional Arabic"/>
          <w:sz w:val="32"/>
          <w:szCs w:val="32"/>
          <w:rtl/>
          <w:lang w:bidi="ar-EG"/>
        </w:rPr>
        <w:t xml:space="preserve"> </w:t>
      </w:r>
      <w:r w:rsidR="00B10E9A">
        <w:rPr>
          <w:rFonts w:ascii="Traditional Arabic" w:hAnsi="Traditional Arabic" w:cs="Traditional Arabic" w:hint="cs"/>
          <w:sz w:val="32"/>
          <w:szCs w:val="32"/>
          <w:rtl/>
          <w:lang w:bidi="ar-EG"/>
        </w:rPr>
        <w:t>الكتاب.</w:t>
      </w:r>
      <w:r w:rsidRPr="000D5078">
        <w:rPr>
          <w:rFonts w:ascii="Traditional Arabic" w:hAnsi="Traditional Arabic" w:cs="Traditional Arabic"/>
          <w:sz w:val="32"/>
          <w:szCs w:val="32"/>
          <w:rtl/>
          <w:lang w:bidi="ar-EG"/>
        </w:rPr>
        <w:t xml:space="preserve"> </w:t>
      </w:r>
    </w:p>
    <w:p w:rsidR="00B10E9A" w:rsidRDefault="000D5078" w:rsidP="000D5078">
      <w:pPr>
        <w:rPr>
          <w:rFonts w:ascii="Traditional Arabic" w:hAnsi="Traditional Arabic" w:cs="Traditional Arabic" w:hint="cs"/>
          <w:sz w:val="32"/>
          <w:szCs w:val="32"/>
          <w:rtl/>
          <w:lang w:bidi="ar-EG"/>
        </w:rPr>
      </w:pPr>
      <w:r w:rsidRPr="000D5078">
        <w:rPr>
          <w:rFonts w:ascii="Traditional Arabic" w:hAnsi="Traditional Arabic" w:cs="Traditional Arabic" w:hint="cs"/>
          <w:sz w:val="32"/>
          <w:szCs w:val="32"/>
          <w:rtl/>
          <w:lang w:bidi="ar-EG"/>
        </w:rPr>
        <w:t>وقال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إنما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بعثتك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لأبتليك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وأبتلي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بك،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وأنزلت</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عليك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كتابا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يغسله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الماء،</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تقرؤه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نائما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ويقظان،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وإن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الله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أمرني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أحرق</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قريشا،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فقلت</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رب</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إذا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يثلغوا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رأسي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فيدعوه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خبزة،</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قال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استخرجهم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كما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استخرجوك،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واغزهم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نغزك،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وأنفق</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فسننفق</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عليك،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وابعث</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جيشا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نبعث</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خمسة</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مثله،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وقاتل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بمن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أطاعك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من</w:t>
      </w:r>
      <w:r w:rsidRPr="000D5078">
        <w:rPr>
          <w:rFonts w:ascii="Traditional Arabic" w:hAnsi="Traditional Arabic" w:cs="Traditional Arabic"/>
          <w:sz w:val="32"/>
          <w:szCs w:val="32"/>
          <w:rtl/>
          <w:lang w:bidi="ar-EG"/>
        </w:rPr>
        <w:t xml:space="preserve"> </w:t>
      </w:r>
      <w:r w:rsidR="00B10E9A">
        <w:rPr>
          <w:rFonts w:ascii="Traditional Arabic" w:hAnsi="Traditional Arabic" w:cs="Traditional Arabic" w:hint="cs"/>
          <w:sz w:val="32"/>
          <w:szCs w:val="32"/>
          <w:rtl/>
          <w:lang w:bidi="ar-EG"/>
        </w:rPr>
        <w:t>عصاك.</w:t>
      </w:r>
    </w:p>
    <w:p w:rsidR="000D5078" w:rsidRDefault="000D5078" w:rsidP="000D5078">
      <w:pPr>
        <w:rPr>
          <w:rFonts w:ascii="Traditional Arabic" w:hAnsi="Traditional Arabic" w:cs="Traditional Arabic" w:hint="cs"/>
          <w:sz w:val="32"/>
          <w:szCs w:val="32"/>
          <w:rtl/>
          <w:lang w:bidi="ar-EG"/>
        </w:rPr>
      </w:pPr>
      <w:r w:rsidRPr="000D5078">
        <w:rPr>
          <w:rFonts w:ascii="Traditional Arabic" w:hAnsi="Traditional Arabic" w:cs="Traditional Arabic" w:hint="cs"/>
          <w:sz w:val="32"/>
          <w:szCs w:val="32"/>
          <w:rtl/>
          <w:lang w:bidi="ar-EG"/>
        </w:rPr>
        <w:t>قال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وأهل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الجنة</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ثلاثة</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ذو</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سلطان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مقسط</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متصدق</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موفق،</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ورجل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رحيم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رقيق</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القلب</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لكل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ذي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قربى</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ومسلم،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وعفيف</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متعفف</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ذو</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عيال،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قال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وأهل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النار</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خمسة</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الضعيف</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الذي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زبر</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الذين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هم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فيكم</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تبعا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يبتغون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أهلا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مالا،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والخائن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الذي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يخفى</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طمع،</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وإن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دق</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إلا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خانه،</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ورجل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يصبح</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يمسي</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إلا</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وهو</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يخادعك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عن</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أهلك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ومالك</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وذكر</w:t>
      </w:r>
      <w:r w:rsidRPr="000D5078">
        <w:rPr>
          <w:rFonts w:ascii="Traditional Arabic" w:hAnsi="Traditional Arabic" w:cs="Traditional Arabic" w:hint="eastAsia"/>
          <w:sz w:val="32"/>
          <w:szCs w:val="32"/>
          <w:rtl/>
          <w:lang w:bidi="ar-EG"/>
        </w:rPr>
        <w:t>»</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البخل</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أو</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الكذب</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والشنظير</w:t>
      </w:r>
      <w:r w:rsidRPr="000D5078">
        <w:rPr>
          <w:rFonts w:ascii="Traditional Arabic" w:hAnsi="Traditional Arabic" w:cs="Traditional Arabic"/>
          <w:sz w:val="32"/>
          <w:szCs w:val="32"/>
          <w:rtl/>
          <w:lang w:bidi="ar-EG"/>
        </w:rPr>
        <w:t xml:space="preserve"> </w:t>
      </w:r>
      <w:r w:rsidRPr="000D5078">
        <w:rPr>
          <w:rFonts w:ascii="Traditional Arabic" w:hAnsi="Traditional Arabic" w:cs="Traditional Arabic" w:hint="cs"/>
          <w:sz w:val="32"/>
          <w:szCs w:val="32"/>
          <w:rtl/>
          <w:lang w:bidi="ar-EG"/>
        </w:rPr>
        <w:t>الفحاش</w:t>
      </w:r>
      <w:r>
        <w:rPr>
          <w:rFonts w:ascii="Traditional Arabic" w:hAnsi="Traditional Arabic" w:cs="Traditional Arabic"/>
          <w:sz w:val="32"/>
          <w:szCs w:val="32"/>
          <w:rtl/>
          <w:lang w:bidi="ar-EG"/>
        </w:rPr>
        <w:t>"</w:t>
      </w:r>
      <w:r>
        <w:rPr>
          <w:rStyle w:val="FootnoteReference"/>
          <w:rFonts w:ascii="Traditional Arabic" w:hAnsi="Traditional Arabic" w:cs="Traditional Arabic"/>
          <w:sz w:val="32"/>
          <w:szCs w:val="32"/>
          <w:rtl/>
          <w:lang w:bidi="ar-EG"/>
        </w:rPr>
        <w:footnoteReference w:id="2"/>
      </w:r>
      <w:r>
        <w:rPr>
          <w:rFonts w:ascii="Traditional Arabic" w:hAnsi="Traditional Arabic" w:cs="Traditional Arabic" w:hint="cs"/>
          <w:sz w:val="32"/>
          <w:szCs w:val="32"/>
          <w:rtl/>
          <w:lang w:bidi="ar-EG"/>
        </w:rPr>
        <w:t>.</w:t>
      </w:r>
    </w:p>
    <w:p w:rsidR="000D5078" w:rsidRDefault="000D5078">
      <w:pPr>
        <w:rPr>
          <w:rFonts w:ascii="Traditional Arabic" w:hAnsi="Traditional Arabic" w:cs="Traditional Arabic" w:hint="cs"/>
          <w:sz w:val="32"/>
          <w:szCs w:val="32"/>
          <w:rtl/>
          <w:lang w:bidi="ar-EG"/>
        </w:rPr>
      </w:pPr>
    </w:p>
    <w:p w:rsidR="000D5078" w:rsidRPr="00B10E9A" w:rsidRDefault="000D5078" w:rsidP="000D5078">
      <w:pPr>
        <w:rPr>
          <w:rFonts w:ascii="Traditional Arabic" w:hAnsi="Traditional Arabic" w:cs="Traditional Arabic" w:hint="cs"/>
          <w:b/>
          <w:bCs/>
          <w:sz w:val="32"/>
          <w:szCs w:val="32"/>
          <w:rtl/>
          <w:lang w:bidi="ar-EG"/>
        </w:rPr>
      </w:pPr>
      <w:r w:rsidRPr="00B10E9A">
        <w:rPr>
          <w:rFonts w:ascii="Traditional Arabic" w:hAnsi="Traditional Arabic" w:cs="Traditional Arabic" w:hint="cs"/>
          <w:b/>
          <w:bCs/>
          <w:sz w:val="32"/>
          <w:szCs w:val="32"/>
          <w:rtl/>
          <w:lang w:bidi="ar-EG"/>
        </w:rPr>
        <w:t>أسباب الانحراف عن العقيدة:</w:t>
      </w:r>
    </w:p>
    <w:p w:rsidR="000D5078" w:rsidRDefault="000D5078" w:rsidP="000D5078">
      <w:pPr>
        <w:rPr>
          <w:rFonts w:ascii="Traditional Arabic" w:hAnsi="Traditional Arabic" w:cs="Traditional Arabic" w:hint="cs"/>
          <w:sz w:val="32"/>
          <w:szCs w:val="32"/>
          <w:rtl/>
          <w:lang w:bidi="ar-EG"/>
        </w:rPr>
      </w:pPr>
      <w:r>
        <w:rPr>
          <w:rFonts w:ascii="Traditional Arabic" w:hAnsi="Traditional Arabic" w:cs="Traditional Arabic" w:hint="cs"/>
          <w:sz w:val="32"/>
          <w:szCs w:val="32"/>
          <w:rtl/>
          <w:lang w:bidi="ar-EG"/>
        </w:rPr>
        <w:t>حينما نستعرض تاريخ الفرق والبدع في الإسلام، وأسباب انحرافها، نجد أنها ترجع إلى عوامل كثيرة ومتنوعة حسب البيئات والأقاليم، وحسب الأشخاص والمجتمعات، أو حسب الأحوال التي تكون عليها الأمة من القوة والضعف، ويمكن تقسيم الأسباب إلى ما يلي:</w:t>
      </w:r>
    </w:p>
    <w:p w:rsidR="000D5078" w:rsidRPr="00B10E9A" w:rsidRDefault="000D5078" w:rsidP="00B10E9A">
      <w:pPr>
        <w:pStyle w:val="ListParagraph"/>
        <w:numPr>
          <w:ilvl w:val="0"/>
          <w:numId w:val="3"/>
        </w:numPr>
        <w:rPr>
          <w:rFonts w:ascii="Traditional Arabic" w:hAnsi="Traditional Arabic" w:cs="Traditional Arabic" w:hint="cs"/>
          <w:sz w:val="32"/>
          <w:szCs w:val="32"/>
          <w:rtl/>
          <w:lang w:bidi="ar-EG"/>
        </w:rPr>
      </w:pPr>
      <w:r w:rsidRPr="00B10E9A">
        <w:rPr>
          <w:rFonts w:ascii="Traditional Arabic" w:hAnsi="Traditional Arabic" w:cs="Traditional Arabic" w:hint="cs"/>
          <w:sz w:val="32"/>
          <w:szCs w:val="32"/>
          <w:rtl/>
          <w:lang w:bidi="ar-EG"/>
        </w:rPr>
        <w:t>أسباب ومؤثرات أجنبية خارجية.</w:t>
      </w:r>
    </w:p>
    <w:p w:rsidR="000D5078" w:rsidRPr="00B10E9A" w:rsidRDefault="000D5078" w:rsidP="00B10E9A">
      <w:pPr>
        <w:pStyle w:val="ListParagraph"/>
        <w:numPr>
          <w:ilvl w:val="0"/>
          <w:numId w:val="3"/>
        </w:numPr>
        <w:rPr>
          <w:rFonts w:ascii="Traditional Arabic" w:hAnsi="Traditional Arabic" w:cs="Traditional Arabic" w:hint="cs"/>
          <w:sz w:val="32"/>
          <w:szCs w:val="32"/>
          <w:rtl/>
          <w:lang w:bidi="ar-EG"/>
        </w:rPr>
      </w:pPr>
      <w:r w:rsidRPr="00B10E9A">
        <w:rPr>
          <w:rFonts w:ascii="Traditional Arabic" w:hAnsi="Traditional Arabic" w:cs="Traditional Arabic" w:hint="cs"/>
          <w:sz w:val="32"/>
          <w:szCs w:val="32"/>
          <w:rtl/>
          <w:lang w:bidi="ar-EG"/>
        </w:rPr>
        <w:t>أسباب داخلية.</w:t>
      </w:r>
    </w:p>
    <w:p w:rsidR="000D5078" w:rsidRDefault="000D5078" w:rsidP="000D5078">
      <w:pPr>
        <w:rPr>
          <w:rFonts w:ascii="Traditional Arabic" w:hAnsi="Traditional Arabic" w:cs="Traditional Arabic" w:hint="cs"/>
          <w:sz w:val="32"/>
          <w:szCs w:val="32"/>
          <w:rtl/>
          <w:lang w:bidi="ar-EG"/>
        </w:rPr>
      </w:pPr>
    </w:p>
    <w:p w:rsidR="000D5078" w:rsidRPr="00B10E9A" w:rsidRDefault="000D5078" w:rsidP="000D5078">
      <w:pPr>
        <w:rPr>
          <w:rFonts w:ascii="Traditional Arabic" w:hAnsi="Traditional Arabic" w:cs="Traditional Arabic" w:hint="cs"/>
          <w:b/>
          <w:bCs/>
          <w:sz w:val="32"/>
          <w:szCs w:val="32"/>
          <w:rtl/>
          <w:lang w:bidi="ar-EG"/>
        </w:rPr>
      </w:pPr>
      <w:r w:rsidRPr="00B10E9A">
        <w:rPr>
          <w:rFonts w:ascii="Traditional Arabic" w:hAnsi="Traditional Arabic" w:cs="Traditional Arabic" w:hint="cs"/>
          <w:b/>
          <w:bCs/>
          <w:sz w:val="32"/>
          <w:szCs w:val="32"/>
          <w:rtl/>
          <w:lang w:bidi="ar-EG"/>
        </w:rPr>
        <w:t>فأما الأسباب الخارجية فيمكن أن تخلص في العناصر التالية:</w:t>
      </w:r>
    </w:p>
    <w:p w:rsidR="000D5078" w:rsidRDefault="000D5078" w:rsidP="000D5078">
      <w:pPr>
        <w:pStyle w:val="ListParagraph"/>
        <w:numPr>
          <w:ilvl w:val="0"/>
          <w:numId w:val="1"/>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تأثر بعض المسلمين بالأمم المجاورة والأخذ بثقافاتها وأفكارها الدينية، ولاسيما بعد المد الإسلامي واتساع الفتوح.</w:t>
      </w:r>
    </w:p>
    <w:p w:rsidR="000D5078" w:rsidRDefault="000D5078" w:rsidP="000D5078">
      <w:pPr>
        <w:pStyle w:val="ListParagraph"/>
        <w:numPr>
          <w:ilvl w:val="0"/>
          <w:numId w:val="1"/>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دخول بعض أصحاب الأديان الأخرى في الإسلام، ممن لم يتخلصوا من أفكارهم ومعتقداتهم السابقة، فأثاروا الشبهات في الإسلام.</w:t>
      </w:r>
    </w:p>
    <w:p w:rsidR="000D5078" w:rsidRDefault="000D5078" w:rsidP="000D5078">
      <w:pPr>
        <w:pStyle w:val="ListParagraph"/>
        <w:numPr>
          <w:ilvl w:val="0"/>
          <w:numId w:val="1"/>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ترجمة كتب الفلسفة المنحرفة، وتشجيع دراستها والتعمق فيها.</w:t>
      </w:r>
    </w:p>
    <w:p w:rsidR="000D5078" w:rsidRDefault="000D5078" w:rsidP="000D5078">
      <w:pPr>
        <w:pStyle w:val="ListParagraph"/>
        <w:numPr>
          <w:ilvl w:val="0"/>
          <w:numId w:val="1"/>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دخول بعض المغرضين من اليهود والمجوس ونحوهم في الإسلام بقصد الدس والكيد للإسلام والمسلمين.</w:t>
      </w:r>
    </w:p>
    <w:p w:rsidR="000D5078" w:rsidRPr="000D5078" w:rsidRDefault="000D5078" w:rsidP="000D5078">
      <w:pPr>
        <w:rPr>
          <w:rFonts w:ascii="Traditional Arabic" w:hAnsi="Traditional Arabic" w:cs="Traditional Arabic" w:hint="cs"/>
          <w:sz w:val="32"/>
          <w:szCs w:val="32"/>
          <w:rtl/>
          <w:lang w:bidi="ar-EG"/>
        </w:rPr>
      </w:pPr>
      <w:r>
        <w:rPr>
          <w:rFonts w:ascii="Traditional Arabic" w:hAnsi="Traditional Arabic" w:cs="Traditional Arabic" w:hint="cs"/>
          <w:sz w:val="32"/>
          <w:szCs w:val="32"/>
          <w:rtl/>
          <w:lang w:bidi="ar-EG"/>
        </w:rPr>
        <w:t>إذا رجعت إلى أصول كثير من الفرق والبدع تجد لها أصولًا خارجية، كما أخبر النبي صلى الله عليه وسلم في الحديث الصحيح "</w:t>
      </w:r>
      <w:r w:rsidR="00B10E9A" w:rsidRPr="00B10E9A">
        <w:rPr>
          <w:rFonts w:hint="cs"/>
          <w:rtl/>
        </w:rPr>
        <w:t xml:space="preserve"> </w:t>
      </w:r>
      <w:r w:rsidR="00B10E9A" w:rsidRPr="00B10E9A">
        <w:rPr>
          <w:rFonts w:ascii="Traditional Arabic" w:hAnsi="Traditional Arabic" w:cs="Traditional Arabic" w:hint="cs"/>
          <w:sz w:val="32"/>
          <w:szCs w:val="32"/>
          <w:rtl/>
          <w:lang w:bidi="ar-EG"/>
        </w:rPr>
        <w:t>لتتبعن</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سنن</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من</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قبلكم</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شبرا</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بشبر،</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وذراعا</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بذراع،</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حتى</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لو</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سلكوا</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جحر</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ضب</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لسلكتموه</w:t>
      </w:r>
      <w:r w:rsidR="00B10E9A">
        <w:rPr>
          <w:rFonts w:ascii="Traditional Arabic" w:hAnsi="Traditional Arabic" w:cs="Traditional Arabic" w:hint="cs"/>
          <w:sz w:val="32"/>
          <w:szCs w:val="32"/>
          <w:rtl/>
          <w:lang w:bidi="ar-EG"/>
        </w:rPr>
        <w:t>"</w:t>
      </w:r>
      <w:r w:rsidR="00B10E9A" w:rsidRPr="00B10E9A">
        <w:rPr>
          <w:rFonts w:ascii="Traditional Arabic" w:hAnsi="Traditional Arabic" w:cs="Traditional Arabic" w:hint="cs"/>
          <w:sz w:val="32"/>
          <w:szCs w:val="32"/>
          <w:rtl/>
          <w:lang w:bidi="ar-EG"/>
        </w:rPr>
        <w:t>،</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قلنا</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يا</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رسول</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الله</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اليهود،</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والنصارى</w:t>
      </w:r>
      <w:r w:rsidR="00B10E9A" w:rsidRPr="00B10E9A">
        <w:rPr>
          <w:rFonts w:ascii="Traditional Arabic" w:hAnsi="Traditional Arabic" w:cs="Traditional Arabic"/>
          <w:sz w:val="32"/>
          <w:szCs w:val="32"/>
          <w:rtl/>
          <w:lang w:bidi="ar-EG"/>
        </w:rPr>
        <w:t xml:space="preserve"> </w:t>
      </w:r>
      <w:r w:rsidR="00B10E9A" w:rsidRPr="00B10E9A">
        <w:rPr>
          <w:rFonts w:ascii="Traditional Arabic" w:hAnsi="Traditional Arabic" w:cs="Traditional Arabic" w:hint="cs"/>
          <w:sz w:val="32"/>
          <w:szCs w:val="32"/>
          <w:rtl/>
          <w:lang w:bidi="ar-EG"/>
        </w:rPr>
        <w:t>قال</w:t>
      </w:r>
      <w:r w:rsidR="00B10E9A">
        <w:rPr>
          <w:rFonts w:ascii="Traditional Arabic" w:hAnsi="Traditional Arabic" w:cs="Traditional Arabic"/>
          <w:sz w:val="32"/>
          <w:szCs w:val="32"/>
          <w:rtl/>
          <w:lang w:bidi="ar-EG"/>
        </w:rPr>
        <w:t xml:space="preserve">: </w:t>
      </w:r>
      <w:r w:rsidR="00B10E9A">
        <w:rPr>
          <w:rFonts w:ascii="Traditional Arabic" w:hAnsi="Traditional Arabic" w:cs="Traditional Arabic" w:hint="cs"/>
          <w:sz w:val="32"/>
          <w:szCs w:val="32"/>
          <w:rtl/>
          <w:lang w:bidi="ar-EG"/>
        </w:rPr>
        <w:t>"</w:t>
      </w:r>
      <w:r w:rsidR="00B10E9A" w:rsidRPr="00B10E9A">
        <w:rPr>
          <w:rFonts w:ascii="Traditional Arabic" w:hAnsi="Traditional Arabic" w:cs="Traditional Arabic" w:hint="cs"/>
          <w:sz w:val="32"/>
          <w:szCs w:val="32"/>
          <w:rtl/>
          <w:lang w:bidi="ar-EG"/>
        </w:rPr>
        <w:t>فمن</w:t>
      </w:r>
      <w:r w:rsidR="00B10E9A">
        <w:rPr>
          <w:rFonts w:ascii="Traditional Arabic" w:hAnsi="Traditional Arabic" w:cs="Traditional Arabic" w:hint="cs"/>
          <w:sz w:val="32"/>
          <w:szCs w:val="32"/>
          <w:rtl/>
          <w:lang w:bidi="ar-EG"/>
        </w:rPr>
        <w:t>"</w:t>
      </w:r>
      <w:r w:rsidR="00B10E9A">
        <w:rPr>
          <w:rStyle w:val="FootnoteReference"/>
          <w:rFonts w:ascii="Traditional Arabic" w:hAnsi="Traditional Arabic" w:cs="Traditional Arabic"/>
          <w:sz w:val="32"/>
          <w:szCs w:val="32"/>
          <w:rtl/>
          <w:lang w:bidi="ar-EG"/>
        </w:rPr>
        <w:footnoteReference w:id="3"/>
      </w:r>
      <w:r w:rsidR="00B10E9A">
        <w:rPr>
          <w:rFonts w:ascii="Traditional Arabic" w:hAnsi="Traditional Arabic" w:cs="Traditional Arabic" w:hint="cs"/>
          <w:sz w:val="32"/>
          <w:szCs w:val="32"/>
          <w:rtl/>
          <w:lang w:bidi="ar-EG"/>
        </w:rPr>
        <w:t>.</w:t>
      </w:r>
    </w:p>
    <w:p w:rsidR="000D5078" w:rsidRDefault="000D5078" w:rsidP="000D5078">
      <w:pPr>
        <w:rPr>
          <w:rFonts w:ascii="Traditional Arabic" w:hAnsi="Traditional Arabic" w:cs="Traditional Arabic" w:hint="cs"/>
          <w:sz w:val="32"/>
          <w:szCs w:val="32"/>
          <w:rtl/>
          <w:lang w:bidi="ar-EG"/>
        </w:rPr>
      </w:pPr>
    </w:p>
    <w:p w:rsidR="000D5078" w:rsidRPr="00B10E9A" w:rsidRDefault="000D5078" w:rsidP="000D5078">
      <w:pPr>
        <w:rPr>
          <w:rFonts w:ascii="Traditional Arabic" w:hAnsi="Traditional Arabic" w:cs="Traditional Arabic" w:hint="cs"/>
          <w:b/>
          <w:bCs/>
          <w:sz w:val="32"/>
          <w:szCs w:val="32"/>
          <w:rtl/>
          <w:lang w:bidi="ar-EG"/>
        </w:rPr>
      </w:pPr>
      <w:r w:rsidRPr="00B10E9A">
        <w:rPr>
          <w:rFonts w:ascii="Traditional Arabic" w:hAnsi="Traditional Arabic" w:cs="Traditional Arabic" w:hint="cs"/>
          <w:b/>
          <w:bCs/>
          <w:sz w:val="32"/>
          <w:szCs w:val="32"/>
          <w:rtl/>
          <w:lang w:bidi="ar-EG"/>
        </w:rPr>
        <w:t>وأما الأسباب الداخلية فمن أهمها:</w:t>
      </w:r>
    </w:p>
    <w:p w:rsidR="000D5078" w:rsidRDefault="000D5078" w:rsidP="000D5078">
      <w:pPr>
        <w:pStyle w:val="ListParagraph"/>
        <w:numPr>
          <w:ilvl w:val="0"/>
          <w:numId w:val="2"/>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تلقي الدين من غير مصادره، (الوحي) ومن غير أهله (العلماء).</w:t>
      </w:r>
    </w:p>
    <w:p w:rsidR="000D5078" w:rsidRDefault="000D5078" w:rsidP="000D5078">
      <w:pPr>
        <w:pStyle w:val="ListParagraph"/>
        <w:numPr>
          <w:ilvl w:val="0"/>
          <w:numId w:val="2"/>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الخلل في تقرير الدين والاستدلال عليه بالخروج من منهج السلف في ذلك.</w:t>
      </w:r>
    </w:p>
    <w:p w:rsidR="000D5078" w:rsidRDefault="000D5078" w:rsidP="000D5078">
      <w:pPr>
        <w:pStyle w:val="ListParagraph"/>
        <w:numPr>
          <w:ilvl w:val="0"/>
          <w:numId w:val="2"/>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اتباع الهوى، (فإنه أصل الزيغ ومفارقة الحق).</w:t>
      </w:r>
    </w:p>
    <w:p w:rsidR="00B10E9A" w:rsidRDefault="00B10E9A" w:rsidP="00B10E9A">
      <w:pPr>
        <w:rPr>
          <w:rFonts w:ascii="Traditional Arabic" w:hAnsi="Traditional Arabic" w:cs="Traditional Arabic" w:hint="cs"/>
          <w:sz w:val="32"/>
          <w:szCs w:val="32"/>
          <w:rtl/>
          <w:lang w:bidi="ar-EG"/>
        </w:rPr>
      </w:pPr>
      <w:r>
        <w:rPr>
          <w:rFonts w:ascii="Traditional Arabic" w:hAnsi="Traditional Arabic" w:cs="Traditional Arabic" w:hint="cs"/>
          <w:sz w:val="32"/>
          <w:szCs w:val="32"/>
          <w:rtl/>
          <w:lang w:bidi="ar-EG"/>
        </w:rPr>
        <w:t xml:space="preserve">والدليل من سورة الجاثية قال تعالى: </w:t>
      </w:r>
      <w:r w:rsidRPr="00B10E9A">
        <w:rPr>
          <w:rFonts w:ascii="Traditional Arabic" w:hAnsi="Traditional Arabic" w:cs="Traditional Arabic"/>
          <w:sz w:val="32"/>
          <w:szCs w:val="32"/>
          <w:rtl/>
          <w:lang w:bidi="ar-EG"/>
        </w:rPr>
        <w:t>{</w:t>
      </w:r>
      <w:r w:rsidRPr="00B10E9A">
        <w:rPr>
          <w:rFonts w:ascii="Traditional Arabic" w:hAnsi="Traditional Arabic" w:cs="Traditional Arabic" w:hint="cs"/>
          <w:sz w:val="32"/>
          <w:szCs w:val="32"/>
          <w:rtl/>
          <w:lang w:bidi="ar-EG"/>
        </w:rPr>
        <w:t>أَفَرَأَيْتَ</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مَنِ</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اتَّخَذَ</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إِلَهَهُ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هَوَاهُ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وَأَضَلَّهُ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اللَّهُ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عَلَى</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عِلْمٍ</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وَخَتَمَ</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عَلَى</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سَمْعِهِ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وَقَلْبِهِ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وَجَعَلَ</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عَلَى</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بَصَرِهِ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غِشَاوَةً</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فَمَنْ</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يَهْدِيهِ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مِنْ</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بَعْدِ</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اللَّهِ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أَفَلَا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تَذَكَّرُونَ</w:t>
      </w:r>
      <w:r w:rsidRPr="00B10E9A">
        <w:rPr>
          <w:rFonts w:ascii="Traditional Arabic" w:hAnsi="Traditional Arabic" w:cs="Traditional Arabic"/>
          <w:sz w:val="32"/>
          <w:szCs w:val="32"/>
          <w:rtl/>
          <w:lang w:bidi="ar-EG"/>
        </w:rPr>
        <w:t>} [</w:t>
      </w:r>
      <w:r w:rsidRPr="00B10E9A">
        <w:rPr>
          <w:rFonts w:ascii="Traditional Arabic" w:hAnsi="Traditional Arabic" w:cs="Traditional Arabic" w:hint="cs"/>
          <w:sz w:val="32"/>
          <w:szCs w:val="32"/>
          <w:rtl/>
          <w:lang w:bidi="ar-EG"/>
        </w:rPr>
        <w:t>الجاثية</w:t>
      </w:r>
      <w:r w:rsidRPr="00B10E9A">
        <w:rPr>
          <w:rFonts w:ascii="Traditional Arabic" w:hAnsi="Traditional Arabic" w:cs="Traditional Arabic"/>
          <w:sz w:val="32"/>
          <w:szCs w:val="32"/>
          <w:rtl/>
          <w:lang w:bidi="ar-EG"/>
        </w:rPr>
        <w:t>: 23]</w:t>
      </w:r>
    </w:p>
    <w:p w:rsidR="00B10E9A" w:rsidRDefault="00B10E9A" w:rsidP="00B10E9A">
      <w:pPr>
        <w:pStyle w:val="ListParagraph"/>
        <w:numPr>
          <w:ilvl w:val="0"/>
          <w:numId w:val="2"/>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الجهل: (وهو من أعظم الأسباب المؤدية إلى الابتداع والتفرق والاختلاف)، عن عبد الله بن عمرو بن العاص قال</w:t>
      </w:r>
      <w:r w:rsidR="001B6AF4">
        <w:rPr>
          <w:rFonts w:ascii="Traditional Arabic" w:hAnsi="Traditional Arabic" w:cs="Traditional Arabic" w:hint="cs"/>
          <w:sz w:val="32"/>
          <w:szCs w:val="32"/>
          <w:rtl/>
          <w:lang w:bidi="ar-EG"/>
        </w:rPr>
        <w:t xml:space="preserve"> سمعت رسول الله صلى الله عليه وسلم يقول</w:t>
      </w:r>
      <w:r>
        <w:rPr>
          <w:rFonts w:ascii="Traditional Arabic" w:hAnsi="Traditional Arabic" w:cs="Traditional Arabic" w:hint="cs"/>
          <w:sz w:val="32"/>
          <w:szCs w:val="32"/>
          <w:rtl/>
          <w:lang w:bidi="ar-EG"/>
        </w:rPr>
        <w:t>:</w:t>
      </w:r>
      <w:r w:rsidRPr="00B10E9A">
        <w:rPr>
          <w:rFonts w:hint="cs"/>
          <w:rtl/>
        </w:rPr>
        <w:t xml:space="preserve"> </w:t>
      </w:r>
      <w:r w:rsidRPr="00B10E9A">
        <w:rPr>
          <w:rFonts w:ascii="Traditional Arabic" w:hAnsi="Traditional Arabic" w:cs="Traditional Arabic" w:hint="cs"/>
          <w:sz w:val="32"/>
          <w:szCs w:val="32"/>
          <w:rtl/>
          <w:lang w:bidi="ar-EG"/>
        </w:rPr>
        <w:t>إن</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الله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لا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يقبض</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lastRenderedPageBreak/>
        <w:t>العلم</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انتزاعا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ينتزعه</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من</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العباد،</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ولكن</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يقبض</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العلم</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بقبض</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العلماء،</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حتى</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إذا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لم</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يبق</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عالما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اتخذ</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الناس</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رءوسا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جهالا،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فسئلوا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فأفتوا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بغير</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علم،</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فضلوا</w:t>
      </w:r>
      <w:r w:rsidRPr="00B10E9A">
        <w:rPr>
          <w:rFonts w:ascii="Traditional Arabic" w:hAnsi="Traditional Arabic" w:cs="Traditional Arabic"/>
          <w:sz w:val="32"/>
          <w:szCs w:val="32"/>
          <w:rtl/>
          <w:lang w:bidi="ar-EG"/>
        </w:rPr>
        <w:t xml:space="preserve"> </w:t>
      </w:r>
      <w:r w:rsidRPr="00B10E9A">
        <w:rPr>
          <w:rFonts w:ascii="Traditional Arabic" w:hAnsi="Traditional Arabic" w:cs="Traditional Arabic" w:hint="cs"/>
          <w:sz w:val="32"/>
          <w:szCs w:val="32"/>
          <w:rtl/>
          <w:lang w:bidi="ar-EG"/>
        </w:rPr>
        <w:t>وأضلوا</w:t>
      </w:r>
      <w:r>
        <w:rPr>
          <w:rFonts w:ascii="Traditional Arabic" w:hAnsi="Traditional Arabic" w:cs="Traditional Arabic" w:hint="cs"/>
          <w:sz w:val="32"/>
          <w:szCs w:val="32"/>
          <w:rtl/>
          <w:lang w:bidi="ar-EG"/>
        </w:rPr>
        <w:t>"</w:t>
      </w:r>
      <w:r>
        <w:rPr>
          <w:rStyle w:val="FootnoteReference"/>
          <w:rFonts w:ascii="Traditional Arabic" w:hAnsi="Traditional Arabic" w:cs="Traditional Arabic"/>
          <w:sz w:val="32"/>
          <w:szCs w:val="32"/>
          <w:rtl/>
          <w:lang w:bidi="ar-EG"/>
        </w:rPr>
        <w:footnoteReference w:id="4"/>
      </w:r>
      <w:r>
        <w:rPr>
          <w:rFonts w:ascii="Traditional Arabic" w:hAnsi="Traditional Arabic" w:cs="Traditional Arabic" w:hint="cs"/>
          <w:sz w:val="32"/>
          <w:szCs w:val="32"/>
          <w:rtl/>
          <w:lang w:bidi="ar-EG"/>
        </w:rPr>
        <w:t>.</w:t>
      </w:r>
    </w:p>
    <w:p w:rsidR="00B10E9A" w:rsidRDefault="00B10E9A" w:rsidP="00B10E9A">
      <w:pPr>
        <w:pStyle w:val="ListParagraph"/>
        <w:numPr>
          <w:ilvl w:val="0"/>
          <w:numId w:val="2"/>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الغلو والإفراط: (وهو من العوامل المؤثرة في تكون الفرق واختلافها، فنجد بعض الفرق تغلو في أئمتها إلى درجة العصمة، وبعض الفرق تغلو في آيات الوعيد لدرجة تكفير مرتكب الكبيرة.</w:t>
      </w:r>
    </w:p>
    <w:p w:rsidR="00B10E9A" w:rsidRDefault="00B10E9A" w:rsidP="00B10E9A">
      <w:pPr>
        <w:pStyle w:val="ListParagraph"/>
        <w:numPr>
          <w:ilvl w:val="0"/>
          <w:numId w:val="2"/>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فتح باب تأويل النصوص الشرعية بدون دليل، وهو من أعظم عوامل تفرق الأمم وابتداعها.</w:t>
      </w:r>
    </w:p>
    <w:p w:rsidR="00B10E9A" w:rsidRDefault="00B10E9A" w:rsidP="00B10E9A">
      <w:pPr>
        <w:pStyle w:val="ListParagraph"/>
        <w:numPr>
          <w:ilvl w:val="0"/>
          <w:numId w:val="2"/>
        </w:numPr>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الاعتماد على الرأي في الدين وتقديمه على الشرع، واعتبار العقل منفردًا هو الأصل والأساس فيما يقبل ويرد في الدين.</w:t>
      </w:r>
    </w:p>
    <w:p w:rsidR="00B10E9A" w:rsidRPr="00B10E9A" w:rsidRDefault="00B10E9A" w:rsidP="00B10E9A">
      <w:pPr>
        <w:pStyle w:val="ListParagraph"/>
        <w:numPr>
          <w:ilvl w:val="0"/>
          <w:numId w:val="2"/>
        </w:numPr>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التقليد والتعصب للمتبوعين، وتقديم أقوالهم ولو خالفت قول الله تبارك وتعالى أو قول رسول الله صلى الله عليه وسلم.</w:t>
      </w:r>
    </w:p>
    <w:sectPr w:rsidR="00B10E9A" w:rsidRPr="00B10E9A" w:rsidSect="00B10E9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EED" w:rsidRDefault="00E62EED" w:rsidP="000D5078">
      <w:pPr>
        <w:spacing w:after="0" w:line="240" w:lineRule="auto"/>
      </w:pPr>
      <w:r>
        <w:separator/>
      </w:r>
    </w:p>
  </w:endnote>
  <w:endnote w:type="continuationSeparator" w:id="1">
    <w:p w:rsidR="00E62EED" w:rsidRDefault="00E62EED" w:rsidP="000D5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EED" w:rsidRDefault="00E62EED" w:rsidP="000D5078">
      <w:pPr>
        <w:spacing w:after="0" w:line="240" w:lineRule="auto"/>
      </w:pPr>
      <w:r>
        <w:separator/>
      </w:r>
    </w:p>
  </w:footnote>
  <w:footnote w:type="continuationSeparator" w:id="1">
    <w:p w:rsidR="00E62EED" w:rsidRDefault="00E62EED" w:rsidP="000D5078">
      <w:pPr>
        <w:spacing w:after="0" w:line="240" w:lineRule="auto"/>
      </w:pPr>
      <w:r>
        <w:continuationSeparator/>
      </w:r>
    </w:p>
  </w:footnote>
  <w:footnote w:id="2">
    <w:p w:rsidR="000D5078" w:rsidRPr="00B10E9A" w:rsidRDefault="000D5078" w:rsidP="000D5078">
      <w:pPr>
        <w:pStyle w:val="FootnoteText"/>
        <w:rPr>
          <w:rFonts w:ascii="Traditional Arabic" w:hAnsi="Traditional Arabic" w:cs="Traditional Arabic"/>
          <w:sz w:val="32"/>
          <w:szCs w:val="32"/>
          <w:rtl/>
          <w:lang w:bidi="ar-EG"/>
        </w:rPr>
      </w:pPr>
      <w:r w:rsidRPr="00B10E9A">
        <w:rPr>
          <w:rStyle w:val="FootnoteReference"/>
          <w:rFonts w:ascii="Traditional Arabic" w:hAnsi="Traditional Arabic" w:cs="Traditional Arabic"/>
          <w:sz w:val="32"/>
          <w:szCs w:val="32"/>
        </w:rPr>
        <w:footnoteRef/>
      </w:r>
      <w:r w:rsidRPr="00B10E9A">
        <w:rPr>
          <w:rFonts w:ascii="Traditional Arabic" w:hAnsi="Traditional Arabic" w:cs="Traditional Arabic"/>
          <w:sz w:val="32"/>
          <w:szCs w:val="32"/>
          <w:rtl/>
        </w:rPr>
        <w:t xml:space="preserve"> </w:t>
      </w:r>
      <w:r w:rsidRPr="00B10E9A">
        <w:rPr>
          <w:rFonts w:ascii="Traditional Arabic" w:hAnsi="Traditional Arabic" w:cs="Traditional Arabic"/>
          <w:sz w:val="32"/>
          <w:szCs w:val="32"/>
          <w:rtl/>
          <w:lang w:bidi="ar-EG"/>
        </w:rPr>
        <w:t>رواه مسلم، كتاب الجنة وصفة نعيمها وأهلها، باب الصفات التي يعرف بها في الدنيا أهل الجنة وأهل النار، رقم (63/2865)</w:t>
      </w:r>
    </w:p>
  </w:footnote>
  <w:footnote w:id="3">
    <w:p w:rsidR="00B10E9A" w:rsidRPr="00B10E9A" w:rsidRDefault="00B10E9A">
      <w:pPr>
        <w:pStyle w:val="FootnoteText"/>
        <w:rPr>
          <w:rFonts w:ascii="Traditional Arabic" w:hAnsi="Traditional Arabic" w:cs="Traditional Arabic"/>
          <w:sz w:val="32"/>
          <w:szCs w:val="32"/>
          <w:rtl/>
          <w:lang w:bidi="ar-EG"/>
        </w:rPr>
      </w:pPr>
      <w:r w:rsidRPr="00B10E9A">
        <w:rPr>
          <w:rStyle w:val="FootnoteReference"/>
          <w:rFonts w:ascii="Traditional Arabic" w:hAnsi="Traditional Arabic" w:cs="Traditional Arabic"/>
          <w:sz w:val="32"/>
          <w:szCs w:val="32"/>
        </w:rPr>
        <w:footnoteRef/>
      </w:r>
      <w:r w:rsidRPr="00B10E9A">
        <w:rPr>
          <w:rFonts w:ascii="Traditional Arabic" w:hAnsi="Traditional Arabic" w:cs="Traditional Arabic"/>
          <w:sz w:val="32"/>
          <w:szCs w:val="32"/>
          <w:rtl/>
        </w:rPr>
        <w:t xml:space="preserve"> </w:t>
      </w:r>
      <w:r w:rsidRPr="00B10E9A">
        <w:rPr>
          <w:rFonts w:ascii="Traditional Arabic" w:hAnsi="Traditional Arabic" w:cs="Traditional Arabic"/>
          <w:sz w:val="32"/>
          <w:szCs w:val="32"/>
          <w:rtl/>
          <w:lang w:bidi="ar-EG"/>
        </w:rPr>
        <w:t>رواه البخاري، كتاب أحاديث الأنبياء، باب ما ذكر عن بني إسرائيل، رقم 3456.</w:t>
      </w:r>
    </w:p>
  </w:footnote>
  <w:footnote w:id="4">
    <w:p w:rsidR="00B10E9A" w:rsidRPr="00B10E9A" w:rsidRDefault="00B10E9A">
      <w:pPr>
        <w:pStyle w:val="FootnoteText"/>
        <w:rPr>
          <w:rFonts w:ascii="Traditional Arabic" w:hAnsi="Traditional Arabic" w:cs="Traditional Arabic"/>
          <w:sz w:val="32"/>
          <w:szCs w:val="32"/>
          <w:rtl/>
          <w:lang w:bidi="ar-EG"/>
        </w:rPr>
      </w:pPr>
      <w:r w:rsidRPr="00B10E9A">
        <w:rPr>
          <w:rStyle w:val="FootnoteReference"/>
          <w:rFonts w:ascii="Traditional Arabic" w:hAnsi="Traditional Arabic" w:cs="Traditional Arabic"/>
          <w:sz w:val="32"/>
          <w:szCs w:val="32"/>
        </w:rPr>
        <w:footnoteRef/>
      </w:r>
      <w:r w:rsidRPr="00B10E9A">
        <w:rPr>
          <w:rFonts w:ascii="Traditional Arabic" w:hAnsi="Traditional Arabic" w:cs="Traditional Arabic"/>
          <w:sz w:val="32"/>
          <w:szCs w:val="32"/>
          <w:rtl/>
        </w:rPr>
        <w:t xml:space="preserve"> </w:t>
      </w:r>
      <w:r w:rsidRPr="00B10E9A">
        <w:rPr>
          <w:rFonts w:ascii="Traditional Arabic" w:hAnsi="Traditional Arabic" w:cs="Traditional Arabic"/>
          <w:sz w:val="32"/>
          <w:szCs w:val="32"/>
          <w:rtl/>
          <w:lang w:bidi="ar-EG"/>
        </w:rPr>
        <w:t>رواه البخاري، كتاب العلم، باب كيف يقبض العلم، رقم 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407D"/>
    <w:multiLevelType w:val="hybridMultilevel"/>
    <w:tmpl w:val="45DA1AF6"/>
    <w:lvl w:ilvl="0" w:tplc="09F09792">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52067"/>
    <w:multiLevelType w:val="hybridMultilevel"/>
    <w:tmpl w:val="4A6A3F4E"/>
    <w:lvl w:ilvl="0" w:tplc="AB44FF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3A41ED"/>
    <w:multiLevelType w:val="hybridMultilevel"/>
    <w:tmpl w:val="3E861A66"/>
    <w:lvl w:ilvl="0" w:tplc="7E949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5078"/>
    <w:rsid w:val="000D5078"/>
    <w:rsid w:val="001A2DFA"/>
    <w:rsid w:val="001B6AF4"/>
    <w:rsid w:val="002078CA"/>
    <w:rsid w:val="00B10E9A"/>
    <w:rsid w:val="00E62E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DF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078"/>
    <w:pPr>
      <w:ind w:left="720"/>
      <w:contextualSpacing/>
    </w:pPr>
  </w:style>
  <w:style w:type="paragraph" w:styleId="FootnoteText">
    <w:name w:val="footnote text"/>
    <w:basedOn w:val="Normal"/>
    <w:link w:val="FootnoteTextChar"/>
    <w:uiPriority w:val="99"/>
    <w:semiHidden/>
    <w:unhideWhenUsed/>
    <w:rsid w:val="000D5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078"/>
    <w:rPr>
      <w:sz w:val="20"/>
      <w:szCs w:val="20"/>
    </w:rPr>
  </w:style>
  <w:style w:type="character" w:styleId="FootnoteReference">
    <w:name w:val="footnote reference"/>
    <w:basedOn w:val="DefaultParagraphFont"/>
    <w:uiPriority w:val="99"/>
    <w:semiHidden/>
    <w:unhideWhenUsed/>
    <w:rsid w:val="000D5078"/>
    <w:rPr>
      <w:vertAlign w:val="superscript"/>
    </w:rPr>
  </w:style>
  <w:style w:type="paragraph" w:styleId="Header">
    <w:name w:val="header"/>
    <w:basedOn w:val="Normal"/>
    <w:link w:val="HeaderChar"/>
    <w:uiPriority w:val="99"/>
    <w:semiHidden/>
    <w:unhideWhenUsed/>
    <w:rsid w:val="00B10E9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10E9A"/>
  </w:style>
  <w:style w:type="paragraph" w:styleId="Footer">
    <w:name w:val="footer"/>
    <w:basedOn w:val="Normal"/>
    <w:link w:val="FooterChar"/>
    <w:uiPriority w:val="99"/>
    <w:semiHidden/>
    <w:unhideWhenUsed/>
    <w:rsid w:val="00B10E9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10E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2DC7-882C-48EC-8864-BB23DAF8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2016-03-01T11:08:00Z</dcterms:created>
  <dcterms:modified xsi:type="dcterms:W3CDTF">2016-03-01T11:35:00Z</dcterms:modified>
</cp:coreProperties>
</file>