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01B" w:rsidRPr="00160526" w:rsidRDefault="0019101B" w:rsidP="00160526">
      <w:pPr>
        <w:spacing w:before="120" w:after="120" w:line="240" w:lineRule="auto"/>
        <w:ind w:firstLine="227"/>
        <w:jc w:val="center"/>
        <w:rPr>
          <w:rFonts w:ascii="Traditional Arabic" w:hAnsi="Traditional Arabic" w:cs="Traditional Arabic"/>
          <w:b/>
          <w:bCs/>
          <w:sz w:val="32"/>
          <w:szCs w:val="32"/>
          <w:rtl/>
          <w:lang w:bidi="ar-EG"/>
        </w:rPr>
      </w:pPr>
      <w:bookmarkStart w:id="0" w:name="_GoBack"/>
      <w:r w:rsidRPr="00160526">
        <w:rPr>
          <w:rFonts w:ascii="Traditional Arabic" w:hAnsi="Traditional Arabic" w:cs="Traditional Arabic"/>
          <w:b/>
          <w:bCs/>
          <w:sz w:val="32"/>
          <w:szCs w:val="32"/>
          <w:rtl/>
          <w:lang w:bidi="ar-EG"/>
        </w:rPr>
        <w:t xml:space="preserve">هل قول الله </w:t>
      </w:r>
      <w:r w:rsidR="00160526" w:rsidRPr="00160526">
        <w:rPr>
          <w:rFonts w:ascii="Traditional Arabic" w:hAnsi="Traditional Arabic" w:cs="Traditional Arabic"/>
          <w:b/>
          <w:bCs/>
          <w:sz w:val="32"/>
          <w:szCs w:val="32"/>
          <w:rtl/>
          <w:lang w:bidi="ar-EG"/>
        </w:rPr>
        <w:t>{</w:t>
      </w:r>
      <w:r w:rsidR="00160526" w:rsidRPr="00160526">
        <w:rPr>
          <w:rFonts w:ascii="Traditional Arabic" w:hAnsi="Traditional Arabic" w:cs="Traditional Arabic"/>
          <w:b/>
          <w:bCs/>
          <w:sz w:val="32"/>
          <w:szCs w:val="32"/>
          <w:rtl/>
          <w:lang w:bidi="ar-EG"/>
        </w:rPr>
        <w:t>أَلَسْتُ بِرَبِّكُمْ</w:t>
      </w:r>
      <w:r w:rsidR="00160526" w:rsidRPr="00160526">
        <w:rPr>
          <w:rFonts w:ascii="Traditional Arabic" w:hAnsi="Traditional Arabic" w:cs="Traditional Arabic"/>
          <w:b/>
          <w:bCs/>
          <w:sz w:val="32"/>
          <w:szCs w:val="32"/>
          <w:rtl/>
          <w:lang w:bidi="ar-EG"/>
        </w:rPr>
        <w:t>}</w:t>
      </w:r>
      <w:r w:rsidRPr="00160526">
        <w:rPr>
          <w:rFonts w:ascii="Traditional Arabic" w:hAnsi="Traditional Arabic" w:cs="Traditional Arabic"/>
          <w:b/>
          <w:bCs/>
          <w:sz w:val="32"/>
          <w:szCs w:val="32"/>
          <w:rtl/>
          <w:lang w:bidi="ar-EG"/>
        </w:rPr>
        <w:t xml:space="preserve"> اكتفاء بالإقرار بالربوبية عن الإقرار بالإلهية</w:t>
      </w:r>
      <w:r w:rsidR="00160526" w:rsidRPr="00160526">
        <w:rPr>
          <w:rFonts w:ascii="Traditional Arabic" w:hAnsi="Traditional Arabic" w:cs="Traditional Arabic"/>
          <w:b/>
          <w:bCs/>
          <w:sz w:val="32"/>
          <w:szCs w:val="32"/>
          <w:rtl/>
          <w:lang w:bidi="ar-EG"/>
        </w:rPr>
        <w:t>؟</w:t>
      </w:r>
    </w:p>
    <w:bookmarkEnd w:id="0"/>
    <w:p w:rsidR="00573180" w:rsidRPr="00160526" w:rsidRDefault="0014533A" w:rsidP="00160526">
      <w:pPr>
        <w:spacing w:before="120" w:after="120" w:line="240" w:lineRule="auto"/>
        <w:ind w:firstLine="227"/>
        <w:jc w:val="both"/>
        <w:rPr>
          <w:rFonts w:ascii="Traditional Arabic" w:hAnsi="Traditional Arabic" w:cs="Traditional Arabic"/>
          <w:sz w:val="32"/>
          <w:szCs w:val="32"/>
          <w:rtl/>
          <w:lang w:bidi="ar-EG"/>
        </w:rPr>
      </w:pPr>
      <w:r w:rsidRPr="00160526">
        <w:rPr>
          <w:rFonts w:ascii="Traditional Arabic" w:hAnsi="Traditional Arabic" w:cs="Traditional Arabic"/>
          <w:sz w:val="32"/>
          <w:szCs w:val="32"/>
          <w:rtl/>
          <w:lang w:bidi="ar-EG"/>
        </w:rPr>
        <w:t>الاستدلال بآية</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أخذ الميثاق على بني آدم حيث يقول الله تعالى فيها: </w:t>
      </w:r>
      <w:r w:rsidR="00160526" w:rsidRPr="00160526">
        <w:rPr>
          <w:rFonts w:ascii="Traditional Arabic" w:hAnsi="Traditional Arabic" w:cs="Traditional Arabic"/>
          <w:sz w:val="32"/>
          <w:szCs w:val="32"/>
          <w:rtl/>
          <w:lang w:bidi="ar-EG"/>
        </w:rPr>
        <w:t>{إِذْ أَخَذَ رَبُّكَ مِنْ بَنِي آدَمَ مِنْ ظُهُورِهِمْ ذُرِّيَّتَهُمْ وَأَشْهَدَهُمْ عَلَى أَنْفُسِهِمْ أَلَسْتُ بِرَبِّكُمْ قَالُوا بَلَى شَهِدْنَا أَنْ تَقُولُوا يَوْمَ الْقِيَامَةِ إِنَّا كُنَّا عَنْ هَذَا غَافِلِينَ} [الأعراف: 172]</w:t>
      </w:r>
      <w:r w:rsidRPr="00160526">
        <w:rPr>
          <w:rFonts w:ascii="Traditional Arabic" w:hAnsi="Traditional Arabic" w:cs="Traditional Arabic"/>
          <w:sz w:val="32"/>
          <w:szCs w:val="32"/>
          <w:rtl/>
          <w:lang w:bidi="ar-EG"/>
        </w:rPr>
        <w:t>، فقالوا: إن الله تعالى قال هنا: ألست</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برب</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كم</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ولم يق</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ل: ألست</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بإلهكم، فاكتفى منهم بالإقرار بالربوبية، وهذا يدل على اتحاد مفهومي الربوبية والألوهية، وأن المطلوب من </w:t>
      </w:r>
      <w:r w:rsidR="009060FD" w:rsidRPr="00160526">
        <w:rPr>
          <w:rFonts w:ascii="Traditional Arabic" w:hAnsi="Traditional Arabic" w:cs="Traditional Arabic"/>
          <w:sz w:val="32"/>
          <w:szCs w:val="32"/>
          <w:rtl/>
          <w:lang w:bidi="ar-EG"/>
        </w:rPr>
        <w:t>الإقرار بـ</w:t>
      </w:r>
      <w:r w:rsidR="00160526" w:rsidRPr="00160526">
        <w:rPr>
          <w:rFonts w:ascii="Traditional Arabic" w:hAnsi="Traditional Arabic" w:cs="Traditional Arabic"/>
          <w:sz w:val="32"/>
          <w:szCs w:val="32"/>
          <w:rtl/>
          <w:lang w:bidi="ar-EG"/>
        </w:rPr>
        <w:t xml:space="preserve"> </w:t>
      </w:r>
      <w:r w:rsidR="009060FD" w:rsidRPr="00160526">
        <w:rPr>
          <w:rFonts w:ascii="Traditional Arabic" w:hAnsi="Traditional Arabic" w:cs="Traditional Arabic"/>
          <w:sz w:val="32"/>
          <w:szCs w:val="32"/>
          <w:rtl/>
          <w:lang w:bidi="ar-EG"/>
        </w:rPr>
        <w:t>(لا إله إلا الله) هو ما ذ</w:t>
      </w:r>
      <w:r w:rsidR="0019101B" w:rsidRPr="00160526">
        <w:rPr>
          <w:rFonts w:ascii="Traditional Arabic" w:hAnsi="Traditional Arabic" w:cs="Traditional Arabic"/>
          <w:sz w:val="32"/>
          <w:szCs w:val="32"/>
          <w:rtl/>
          <w:lang w:bidi="ar-EG"/>
        </w:rPr>
        <w:t>ُ</w:t>
      </w:r>
      <w:r w:rsidR="009060FD" w:rsidRPr="00160526">
        <w:rPr>
          <w:rFonts w:ascii="Traditional Arabic" w:hAnsi="Traditional Arabic" w:cs="Traditional Arabic"/>
          <w:sz w:val="32"/>
          <w:szCs w:val="32"/>
          <w:rtl/>
          <w:lang w:bidi="ar-EG"/>
        </w:rPr>
        <w:t>ك</w:t>
      </w:r>
      <w:r w:rsidR="0019101B" w:rsidRPr="00160526">
        <w:rPr>
          <w:rFonts w:ascii="Traditional Arabic" w:hAnsi="Traditional Arabic" w:cs="Traditional Arabic"/>
          <w:sz w:val="32"/>
          <w:szCs w:val="32"/>
          <w:rtl/>
          <w:lang w:bidi="ar-EG"/>
        </w:rPr>
        <w:t>ِ</w:t>
      </w:r>
      <w:r w:rsidR="009060FD" w:rsidRPr="00160526">
        <w:rPr>
          <w:rFonts w:ascii="Traditional Arabic" w:hAnsi="Traditional Arabic" w:cs="Traditional Arabic"/>
          <w:sz w:val="32"/>
          <w:szCs w:val="32"/>
          <w:rtl/>
          <w:lang w:bidi="ar-EG"/>
        </w:rPr>
        <w:t>ر في هذا الميثاق وهو الإقرار بأنه الرب</w:t>
      </w:r>
      <w:r w:rsidR="0019101B" w:rsidRPr="00160526">
        <w:rPr>
          <w:rFonts w:ascii="Traditional Arabic" w:hAnsi="Traditional Arabic" w:cs="Traditional Arabic"/>
          <w:sz w:val="32"/>
          <w:szCs w:val="32"/>
          <w:rtl/>
          <w:lang w:bidi="ar-EG"/>
        </w:rPr>
        <w:t>ُّ</w:t>
      </w:r>
      <w:r w:rsidR="009060FD" w:rsidRPr="00160526">
        <w:rPr>
          <w:rFonts w:ascii="Traditional Arabic" w:hAnsi="Traditional Arabic" w:cs="Traditional Arabic"/>
          <w:sz w:val="32"/>
          <w:szCs w:val="32"/>
          <w:rtl/>
          <w:lang w:bidi="ar-EG"/>
        </w:rPr>
        <w:t xml:space="preserve"> وحده، فيكون معنى (لا إله إلا الله ) أي لا خالق ولا رب</w:t>
      </w:r>
      <w:r w:rsidR="0019101B" w:rsidRPr="00160526">
        <w:rPr>
          <w:rFonts w:ascii="Traditional Arabic" w:hAnsi="Traditional Arabic" w:cs="Traditional Arabic"/>
          <w:sz w:val="32"/>
          <w:szCs w:val="32"/>
          <w:rtl/>
          <w:lang w:bidi="ar-EG"/>
        </w:rPr>
        <w:t>َّ</w:t>
      </w:r>
      <w:r w:rsidR="009060FD" w:rsidRPr="00160526">
        <w:rPr>
          <w:rFonts w:ascii="Traditional Arabic" w:hAnsi="Traditional Arabic" w:cs="Traditional Arabic"/>
          <w:sz w:val="32"/>
          <w:szCs w:val="32"/>
          <w:rtl/>
          <w:lang w:bidi="ar-EG"/>
        </w:rPr>
        <w:t xml:space="preserve"> سواه.</w:t>
      </w:r>
    </w:p>
    <w:p w:rsidR="009060FD" w:rsidRPr="00160526" w:rsidRDefault="009060FD" w:rsidP="00160526">
      <w:pPr>
        <w:spacing w:before="120" w:after="120" w:line="240" w:lineRule="auto"/>
        <w:ind w:firstLine="227"/>
        <w:jc w:val="both"/>
        <w:rPr>
          <w:rFonts w:ascii="Traditional Arabic" w:hAnsi="Traditional Arabic" w:cs="Traditional Arabic"/>
          <w:b/>
          <w:bCs/>
          <w:sz w:val="32"/>
          <w:szCs w:val="32"/>
          <w:rtl/>
          <w:lang w:bidi="ar-EG"/>
        </w:rPr>
      </w:pPr>
      <w:r w:rsidRPr="00160526">
        <w:rPr>
          <w:rFonts w:ascii="Traditional Arabic" w:hAnsi="Traditional Arabic" w:cs="Traditional Arabic"/>
          <w:b/>
          <w:bCs/>
          <w:sz w:val="32"/>
          <w:szCs w:val="32"/>
          <w:rtl/>
          <w:lang w:bidi="ar-EG"/>
        </w:rPr>
        <w:t>الرد:</w:t>
      </w:r>
    </w:p>
    <w:p w:rsidR="0019101B" w:rsidRPr="00160526" w:rsidRDefault="0019101B" w:rsidP="00160526">
      <w:pPr>
        <w:spacing w:before="120" w:after="120" w:line="240" w:lineRule="auto"/>
        <w:ind w:firstLine="227"/>
        <w:jc w:val="both"/>
        <w:rPr>
          <w:rFonts w:ascii="Traditional Arabic" w:hAnsi="Traditional Arabic" w:cs="Traditional Arabic"/>
          <w:sz w:val="32"/>
          <w:szCs w:val="32"/>
          <w:rtl/>
          <w:lang w:bidi="ar-EG"/>
        </w:rPr>
      </w:pPr>
      <w:r w:rsidRPr="00160526">
        <w:rPr>
          <w:rFonts w:ascii="Traditional Arabic" w:hAnsi="Traditional Arabic" w:cs="Traditional Arabic"/>
          <w:b/>
          <w:bCs/>
          <w:sz w:val="32"/>
          <w:szCs w:val="32"/>
          <w:u w:val="single"/>
          <w:rtl/>
          <w:lang w:bidi="ar-EG"/>
        </w:rPr>
        <w:t>أولًا:</w:t>
      </w:r>
      <w:r w:rsidR="00160526" w:rsidRPr="00160526">
        <w:rPr>
          <w:rFonts w:ascii="Traditional Arabic" w:hAnsi="Traditional Arabic" w:cs="Traditional Arabic"/>
          <w:sz w:val="32"/>
          <w:szCs w:val="32"/>
          <w:rtl/>
          <w:lang w:bidi="ar-EG"/>
        </w:rPr>
        <w:t xml:space="preserve"> </w:t>
      </w:r>
      <w:r w:rsidR="00656872" w:rsidRPr="00160526">
        <w:rPr>
          <w:rFonts w:ascii="Traditional Arabic" w:hAnsi="Traditional Arabic" w:cs="Traditional Arabic"/>
          <w:sz w:val="32"/>
          <w:szCs w:val="32"/>
          <w:rtl/>
          <w:lang w:bidi="ar-EG"/>
        </w:rPr>
        <w:t>ذكر الربوبية في الآية لا يدل</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 xml:space="preserve"> على نفي الألوهية، ولا اتحادها مفهومًا مع الربوبية، بل ذكر</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 xml:space="preserve"> الألوهية حاصل</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 xml:space="preserve"> هنا بدلالة اللزوم، فالإشهاد على الربوبية والإقرار بها له لازم يجب أن لا ينفك عنه وهو حصر استحقاق العبادة بالرب</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 xml:space="preserve"> الخ</w:t>
      </w:r>
      <w:r w:rsidRPr="00160526">
        <w:rPr>
          <w:rFonts w:ascii="Traditional Arabic" w:hAnsi="Traditional Arabic" w:cs="Traditional Arabic"/>
          <w:sz w:val="32"/>
          <w:szCs w:val="32"/>
          <w:rtl/>
          <w:lang w:bidi="ar-EG"/>
        </w:rPr>
        <w:t>الق المالك وحده سبحانه دون سواه.</w:t>
      </w:r>
    </w:p>
    <w:p w:rsidR="0019101B" w:rsidRPr="00160526" w:rsidRDefault="00656872" w:rsidP="00160526">
      <w:pPr>
        <w:spacing w:before="120" w:after="120" w:line="240" w:lineRule="auto"/>
        <w:ind w:firstLine="227"/>
        <w:jc w:val="both"/>
        <w:rPr>
          <w:rFonts w:ascii="Traditional Arabic" w:hAnsi="Traditional Arabic" w:cs="Traditional Arabic"/>
          <w:sz w:val="32"/>
          <w:szCs w:val="32"/>
          <w:rtl/>
          <w:lang w:bidi="ar-EG"/>
        </w:rPr>
      </w:pPr>
      <w:r w:rsidRPr="00160526">
        <w:rPr>
          <w:rFonts w:ascii="Traditional Arabic" w:hAnsi="Traditional Arabic" w:cs="Traditional Arabic"/>
          <w:sz w:val="32"/>
          <w:szCs w:val="32"/>
          <w:rtl/>
          <w:lang w:bidi="ar-EG"/>
        </w:rPr>
        <w:t xml:space="preserve">قال الشيخ محمد بشير السهسواني: </w:t>
      </w:r>
      <w:r w:rsidR="0021217E" w:rsidRPr="00160526">
        <w:rPr>
          <w:rFonts w:ascii="Traditional Arabic" w:hAnsi="Traditional Arabic" w:cs="Traditional Arabic"/>
          <w:color w:val="444444"/>
          <w:sz w:val="32"/>
          <w:szCs w:val="32"/>
          <w:shd w:val="clear" w:color="auto" w:fill="FFFFFF"/>
        </w:rPr>
        <w:t>»</w:t>
      </w:r>
      <w:r w:rsidRPr="00160526">
        <w:rPr>
          <w:rFonts w:ascii="Traditional Arabic" w:hAnsi="Traditional Arabic" w:cs="Traditional Arabic"/>
          <w:sz w:val="32"/>
          <w:szCs w:val="32"/>
          <w:rtl/>
          <w:lang w:bidi="ar-EG"/>
        </w:rPr>
        <w:t>إن الإقرار بتوح</w:t>
      </w:r>
      <w:r w:rsidR="0019101B" w:rsidRPr="00160526">
        <w:rPr>
          <w:rFonts w:ascii="Traditional Arabic" w:hAnsi="Traditional Arabic" w:cs="Traditional Arabic"/>
          <w:sz w:val="32"/>
          <w:szCs w:val="32"/>
          <w:rtl/>
          <w:lang w:bidi="ar-EG"/>
        </w:rPr>
        <w:t>ي</w:t>
      </w:r>
      <w:r w:rsidRPr="00160526">
        <w:rPr>
          <w:rFonts w:ascii="Traditional Arabic" w:hAnsi="Traditional Arabic" w:cs="Traditional Arabic"/>
          <w:sz w:val="32"/>
          <w:szCs w:val="32"/>
          <w:rtl/>
          <w:lang w:bidi="ar-EG"/>
        </w:rPr>
        <w:t>د الربوبية مع ل</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حاظ قضية بدهية، وهي: أن غير</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الرب</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لا يستحق العبادة يقتضي الإقرار بتوحيد الألوهية عند من له عقل سليم وفهم مستقيم، فيكون الإقرار المذكور حجة</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عليهم، كما احتج</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الله</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تعالى على المشركين بتوحيد الرازق</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ومالك</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السمع</w:t>
      </w:r>
      <w:r w:rsidR="0019101B" w:rsidRPr="00160526">
        <w:rPr>
          <w:rFonts w:ascii="Traditional Arabic" w:hAnsi="Traditional Arabic" w:cs="Traditional Arabic"/>
          <w:sz w:val="32"/>
          <w:szCs w:val="32"/>
          <w:rtl/>
          <w:lang w:bidi="ar-EG"/>
        </w:rPr>
        <w:t>ِ</w:t>
      </w:r>
      <w:r w:rsidRPr="00160526">
        <w:rPr>
          <w:rFonts w:ascii="Traditional Arabic" w:hAnsi="Traditional Arabic" w:cs="Traditional Arabic"/>
          <w:sz w:val="32"/>
          <w:szCs w:val="32"/>
          <w:rtl/>
          <w:lang w:bidi="ar-EG"/>
        </w:rPr>
        <w:t xml:space="preserve"> والأبصار</w:t>
      </w:r>
      <w:r w:rsidR="0019101B" w:rsidRPr="00160526">
        <w:rPr>
          <w:rFonts w:ascii="Traditional Arabic" w:hAnsi="Traditional Arabic" w:cs="Traditional Arabic"/>
          <w:sz w:val="32"/>
          <w:szCs w:val="32"/>
          <w:rtl/>
          <w:lang w:bidi="ar-EG"/>
        </w:rPr>
        <w:t xml:space="preserve">ِ </w:t>
      </w:r>
      <w:r w:rsidRPr="00160526">
        <w:rPr>
          <w:rFonts w:ascii="Traditional Arabic" w:hAnsi="Traditional Arabic" w:cs="Traditional Arabic"/>
          <w:sz w:val="32"/>
          <w:szCs w:val="32"/>
          <w:rtl/>
          <w:lang w:bidi="ar-EG"/>
        </w:rPr>
        <w:t>... على وحدانية الألوهية</w:t>
      </w:r>
      <w:r w:rsidR="0021217E" w:rsidRPr="00160526">
        <w:rPr>
          <w:rFonts w:ascii="Traditional Arabic" w:hAnsi="Traditional Arabic" w:cs="Traditional Arabic"/>
          <w:color w:val="444444"/>
          <w:sz w:val="32"/>
          <w:szCs w:val="32"/>
          <w:shd w:val="clear" w:color="auto" w:fill="FFFFFF"/>
        </w:rPr>
        <w:t>«</w:t>
      </w:r>
      <w:r w:rsidR="0021217E" w:rsidRPr="00160526">
        <w:rPr>
          <w:rFonts w:ascii="Traditional Arabic" w:hAnsi="Traditional Arabic" w:cs="Traditional Arabic"/>
          <w:sz w:val="32"/>
          <w:szCs w:val="32"/>
          <w:vertAlign w:val="superscript"/>
          <w:rtl/>
          <w:lang w:bidi="ar-EG"/>
        </w:rPr>
        <w:t xml:space="preserve"> </w:t>
      </w:r>
      <w:r w:rsidR="0019101B" w:rsidRPr="00160526">
        <w:rPr>
          <w:rFonts w:ascii="Traditional Arabic" w:hAnsi="Traditional Arabic" w:cs="Traditional Arabic"/>
          <w:sz w:val="32"/>
          <w:szCs w:val="32"/>
          <w:vertAlign w:val="superscript"/>
          <w:rtl/>
          <w:lang w:bidi="ar-EG"/>
        </w:rPr>
        <w:t>(</w:t>
      </w:r>
      <w:r w:rsidRPr="00160526">
        <w:rPr>
          <w:rStyle w:val="FootnoteReference"/>
          <w:rFonts w:ascii="Traditional Arabic" w:hAnsi="Traditional Arabic" w:cs="Traditional Arabic"/>
          <w:sz w:val="32"/>
          <w:szCs w:val="32"/>
          <w:rtl/>
          <w:lang w:bidi="ar-EG"/>
        </w:rPr>
        <w:footnoteReference w:id="1"/>
      </w:r>
      <w:r w:rsidR="0019101B" w:rsidRPr="00160526">
        <w:rPr>
          <w:rFonts w:ascii="Traditional Arabic" w:hAnsi="Traditional Arabic" w:cs="Traditional Arabic"/>
          <w:sz w:val="32"/>
          <w:szCs w:val="32"/>
          <w:vertAlign w:val="superscript"/>
          <w:rtl/>
          <w:lang w:bidi="ar-EG"/>
        </w:rPr>
        <w:t>)</w:t>
      </w:r>
      <w:r w:rsidRPr="00160526">
        <w:rPr>
          <w:rFonts w:ascii="Traditional Arabic" w:hAnsi="Traditional Arabic" w:cs="Traditional Arabic"/>
          <w:sz w:val="32"/>
          <w:szCs w:val="32"/>
          <w:rtl/>
          <w:lang w:bidi="ar-EG"/>
        </w:rPr>
        <w:t>.</w:t>
      </w:r>
    </w:p>
    <w:p w:rsidR="0019101B" w:rsidRPr="00160526" w:rsidRDefault="0019101B" w:rsidP="00160526">
      <w:pPr>
        <w:spacing w:before="120" w:after="120" w:line="240" w:lineRule="auto"/>
        <w:ind w:firstLine="227"/>
        <w:jc w:val="both"/>
        <w:rPr>
          <w:rFonts w:ascii="Traditional Arabic" w:hAnsi="Traditional Arabic" w:cs="Traditional Arabic"/>
          <w:sz w:val="32"/>
          <w:szCs w:val="32"/>
          <w:rtl/>
          <w:lang w:bidi="ar-EG"/>
        </w:rPr>
      </w:pPr>
      <w:r w:rsidRPr="00160526">
        <w:rPr>
          <w:rFonts w:ascii="Traditional Arabic" w:hAnsi="Traditional Arabic" w:cs="Traditional Arabic"/>
          <w:b/>
          <w:bCs/>
          <w:sz w:val="32"/>
          <w:szCs w:val="32"/>
          <w:u w:val="single"/>
          <w:rtl/>
          <w:lang w:bidi="ar-EG"/>
        </w:rPr>
        <w:t>ثانيًا:</w:t>
      </w:r>
      <w:r w:rsidRPr="00160526">
        <w:rPr>
          <w:rFonts w:ascii="Traditional Arabic" w:hAnsi="Traditional Arabic" w:cs="Traditional Arabic"/>
          <w:sz w:val="32"/>
          <w:szCs w:val="32"/>
          <w:rtl/>
          <w:lang w:bidi="ar-EG"/>
        </w:rPr>
        <w:t xml:space="preserve"> لفظُ (الربَّ) و(الإله) يجتمعان في دلالة أحدهما على الآخر في نفس الأمر، فالربُّ هو المستحِق للألوهية، والإله الحق لابد وأن يكون خالقًا رازقًا، وهذا الأمر لا يكون إلا في حقِّ الله </w:t>
      </w:r>
      <w:r w:rsidR="00160526" w:rsidRPr="00160526">
        <w:rPr>
          <w:rFonts w:ascii="Traditional Arabic" w:hAnsi="Traditional Arabic" w:cs="Traditional Arabic"/>
          <w:sz w:val="32"/>
          <w:szCs w:val="32"/>
          <w:rtl/>
          <w:lang w:bidi="ar-EG"/>
        </w:rPr>
        <w:t>سبحانه وتعالى</w:t>
      </w:r>
      <w:r w:rsidRPr="00160526">
        <w:rPr>
          <w:rFonts w:ascii="Traditional Arabic" w:hAnsi="Traditional Arabic" w:cs="Traditional Arabic"/>
          <w:sz w:val="32"/>
          <w:szCs w:val="32"/>
          <w:rtl/>
          <w:lang w:bidi="ar-EG"/>
        </w:rPr>
        <w:t xml:space="preserve">، فقوله في الآية: </w:t>
      </w:r>
      <w:r w:rsidR="00160526" w:rsidRPr="00160526">
        <w:rPr>
          <w:rFonts w:ascii="Traditional Arabic" w:hAnsi="Traditional Arabic" w:cs="Traditional Arabic"/>
          <w:b/>
          <w:bCs/>
          <w:sz w:val="32"/>
          <w:szCs w:val="32"/>
          <w:rtl/>
          <w:lang w:bidi="ar-EG"/>
        </w:rPr>
        <w:t>{أَلَسْتُ بِرَبِّكُمْ}</w:t>
      </w:r>
      <w:r w:rsidR="00160526" w:rsidRPr="00160526">
        <w:rPr>
          <w:rFonts w:ascii="Traditional Arabic" w:hAnsi="Traditional Arabic" w:cs="Traditional Arabic"/>
          <w:b/>
          <w:bCs/>
          <w:sz w:val="32"/>
          <w:szCs w:val="32"/>
          <w:rtl/>
          <w:lang w:bidi="ar-EG"/>
        </w:rPr>
        <w:t xml:space="preserve"> </w:t>
      </w:r>
      <w:r w:rsidRPr="00160526">
        <w:rPr>
          <w:rFonts w:ascii="Traditional Arabic" w:hAnsi="Traditional Arabic" w:cs="Traditional Arabic"/>
          <w:sz w:val="32"/>
          <w:szCs w:val="32"/>
          <w:rtl/>
          <w:lang w:bidi="ar-EG"/>
        </w:rPr>
        <w:t>دالٌّ على معنى الألوهية، إذ إفراده بالربوبية مستَلْزِم لإفراده بالعبادة، أما ما عُبِدَ من دون الله تعالى فيُسمَّى إلهًا باعتبار حصول تلك العبادة له، لا باعتبار استحقاقه لها أو حصول موجبها وهو الربوبية.</w:t>
      </w:r>
    </w:p>
    <w:p w:rsidR="00656872" w:rsidRPr="00160526" w:rsidRDefault="0019101B" w:rsidP="00160526">
      <w:pPr>
        <w:spacing w:before="120" w:after="120" w:line="240" w:lineRule="auto"/>
        <w:ind w:firstLine="227"/>
        <w:jc w:val="both"/>
        <w:rPr>
          <w:rFonts w:ascii="Traditional Arabic" w:hAnsi="Traditional Arabic" w:cs="Traditional Arabic"/>
          <w:sz w:val="32"/>
          <w:szCs w:val="32"/>
          <w:lang w:bidi="ar-EG"/>
        </w:rPr>
      </w:pPr>
      <w:r w:rsidRPr="00160526">
        <w:rPr>
          <w:rFonts w:ascii="Traditional Arabic" w:hAnsi="Traditional Arabic" w:cs="Traditional Arabic"/>
          <w:b/>
          <w:bCs/>
          <w:sz w:val="32"/>
          <w:szCs w:val="32"/>
          <w:u w:val="single"/>
          <w:rtl/>
          <w:lang w:bidi="ar-EG"/>
        </w:rPr>
        <w:t>ثالثًا:</w:t>
      </w:r>
      <w:r w:rsidR="00160526" w:rsidRPr="00160526">
        <w:rPr>
          <w:rFonts w:ascii="Traditional Arabic" w:hAnsi="Traditional Arabic" w:cs="Traditional Arabic"/>
          <w:sz w:val="32"/>
          <w:szCs w:val="32"/>
          <w:rtl/>
          <w:lang w:bidi="ar-EG"/>
        </w:rPr>
        <w:t xml:space="preserve"> </w:t>
      </w:r>
      <w:r w:rsidR="00656872" w:rsidRPr="00160526">
        <w:rPr>
          <w:rFonts w:ascii="Traditional Arabic" w:hAnsi="Traditional Arabic" w:cs="Traditional Arabic"/>
          <w:sz w:val="32"/>
          <w:szCs w:val="32"/>
          <w:rtl/>
          <w:lang w:bidi="ar-EG"/>
        </w:rPr>
        <w:t>أن يكون في الآية اختصار</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 ويكون المعنى: ألست</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 xml:space="preserve"> بربكم وإلهكم، قال الشيخ محمد السهسواني: </w:t>
      </w:r>
      <w:r w:rsidR="0021217E" w:rsidRPr="00160526">
        <w:rPr>
          <w:rFonts w:ascii="Traditional Arabic" w:hAnsi="Traditional Arabic" w:cs="Traditional Arabic"/>
          <w:color w:val="444444"/>
          <w:sz w:val="32"/>
          <w:szCs w:val="32"/>
          <w:shd w:val="clear" w:color="auto" w:fill="FFFFFF"/>
        </w:rPr>
        <w:t>»</w:t>
      </w:r>
      <w:r w:rsidR="00656872" w:rsidRPr="00160526">
        <w:rPr>
          <w:rFonts w:ascii="Traditional Arabic" w:hAnsi="Traditional Arabic" w:cs="Traditional Arabic"/>
          <w:sz w:val="32"/>
          <w:szCs w:val="32"/>
          <w:rtl/>
          <w:lang w:bidi="ar-EG"/>
        </w:rPr>
        <w:t>الاحتمال الثاني: أن في الآية اختصارًا والمقصود: ألست</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 xml:space="preserve"> بربكم وإلهكم؟ يدل</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 xml:space="preserve"> عليه أثر ابن عباس </w:t>
      </w:r>
      <w:r w:rsidR="00160526" w:rsidRPr="00160526">
        <w:rPr>
          <w:rFonts w:ascii="Traditional Arabic" w:hAnsi="Traditional Arabic" w:cs="Traditional Arabic"/>
          <w:sz w:val="32"/>
          <w:szCs w:val="32"/>
          <w:rtl/>
          <w:lang w:bidi="ar-EG"/>
        </w:rPr>
        <w:t>رضي الله عنه</w:t>
      </w:r>
      <w:r w:rsidR="00656872" w:rsidRPr="00160526">
        <w:rPr>
          <w:rFonts w:ascii="Traditional Arabic" w:hAnsi="Traditional Arabic" w:cs="Traditional Arabic"/>
          <w:sz w:val="32"/>
          <w:szCs w:val="32"/>
          <w:rtl/>
          <w:lang w:bidi="ar-EG"/>
        </w:rPr>
        <w:t xml:space="preserve">: </w:t>
      </w:r>
      <w:r w:rsidR="0021217E" w:rsidRPr="00160526">
        <w:rPr>
          <w:rFonts w:ascii="Traditional Arabic" w:hAnsi="Traditional Arabic" w:cs="Traditional Arabic"/>
          <w:color w:val="444444"/>
          <w:sz w:val="32"/>
          <w:szCs w:val="32"/>
          <w:shd w:val="clear" w:color="auto" w:fill="FFFFFF"/>
        </w:rPr>
        <w:t>»</w:t>
      </w:r>
      <w:r w:rsidR="00656872" w:rsidRPr="00160526">
        <w:rPr>
          <w:rFonts w:ascii="Traditional Arabic" w:hAnsi="Traditional Arabic" w:cs="Traditional Arabic"/>
          <w:sz w:val="32"/>
          <w:szCs w:val="32"/>
          <w:rtl/>
          <w:lang w:bidi="ar-EG"/>
        </w:rPr>
        <w:t>إن الله لما مسح صلب</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 xml:space="preserve"> آدم فاستخرج منه كل</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 xml:space="preserve"> ن</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س</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م</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ة هو خالقها إلى يوم القيامة، فأخذ منهم الميثاق</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 xml:space="preserve"> أن يعبدوه ولا يشركوا به شيئًا، وتكف</w:t>
      </w:r>
      <w:r w:rsidRPr="00160526">
        <w:rPr>
          <w:rFonts w:ascii="Traditional Arabic" w:hAnsi="Traditional Arabic" w:cs="Traditional Arabic"/>
          <w:sz w:val="32"/>
          <w:szCs w:val="32"/>
          <w:rtl/>
          <w:lang w:bidi="ar-EG"/>
        </w:rPr>
        <w:t>َّ</w:t>
      </w:r>
      <w:r w:rsidR="00656872" w:rsidRPr="00160526">
        <w:rPr>
          <w:rFonts w:ascii="Traditional Arabic" w:hAnsi="Traditional Arabic" w:cs="Traditional Arabic"/>
          <w:sz w:val="32"/>
          <w:szCs w:val="32"/>
          <w:rtl/>
          <w:lang w:bidi="ar-EG"/>
        </w:rPr>
        <w:t>ل لهم بالأر</w:t>
      </w:r>
      <w:r w:rsidR="008C1DD2" w:rsidRPr="00160526">
        <w:rPr>
          <w:rFonts w:ascii="Traditional Arabic" w:hAnsi="Traditional Arabic" w:cs="Traditional Arabic"/>
          <w:sz w:val="32"/>
          <w:szCs w:val="32"/>
          <w:rtl/>
          <w:lang w:bidi="ar-EG"/>
        </w:rPr>
        <w:t>زاق</w:t>
      </w:r>
      <w:r w:rsidR="0021217E" w:rsidRPr="00160526">
        <w:rPr>
          <w:rFonts w:ascii="Traditional Arabic" w:hAnsi="Traditional Arabic" w:cs="Traditional Arabic"/>
          <w:color w:val="444444"/>
          <w:sz w:val="32"/>
          <w:szCs w:val="32"/>
          <w:shd w:val="clear" w:color="auto" w:fill="FFFFFF"/>
        </w:rPr>
        <w:t>«</w:t>
      </w:r>
      <w:r w:rsidR="0021217E" w:rsidRPr="00160526">
        <w:rPr>
          <w:rFonts w:ascii="Traditional Arabic" w:hAnsi="Traditional Arabic" w:cs="Traditional Arabic"/>
          <w:sz w:val="32"/>
          <w:szCs w:val="32"/>
          <w:vertAlign w:val="superscript"/>
          <w:rtl/>
          <w:lang w:bidi="ar-EG"/>
        </w:rPr>
        <w:t xml:space="preserve"> </w:t>
      </w:r>
      <w:r w:rsidRPr="00160526">
        <w:rPr>
          <w:rFonts w:ascii="Traditional Arabic" w:hAnsi="Traditional Arabic" w:cs="Traditional Arabic"/>
          <w:sz w:val="32"/>
          <w:szCs w:val="32"/>
          <w:vertAlign w:val="superscript"/>
          <w:rtl/>
          <w:lang w:bidi="ar-EG"/>
        </w:rPr>
        <w:t>(</w:t>
      </w:r>
      <w:r w:rsidR="008C1DD2" w:rsidRPr="00160526">
        <w:rPr>
          <w:rStyle w:val="FootnoteReference"/>
          <w:rFonts w:ascii="Traditional Arabic" w:hAnsi="Traditional Arabic" w:cs="Traditional Arabic"/>
          <w:sz w:val="32"/>
          <w:szCs w:val="32"/>
          <w:rtl/>
          <w:lang w:bidi="ar-EG"/>
        </w:rPr>
        <w:footnoteReference w:id="2"/>
      </w:r>
      <w:r w:rsidR="008C1DD2" w:rsidRPr="00160526">
        <w:rPr>
          <w:rFonts w:ascii="Traditional Arabic" w:hAnsi="Traditional Arabic" w:cs="Traditional Arabic"/>
          <w:sz w:val="32"/>
          <w:szCs w:val="32"/>
          <w:vertAlign w:val="superscript"/>
          <w:rtl/>
          <w:lang w:bidi="ar-EG"/>
        </w:rPr>
        <w:t>)</w:t>
      </w:r>
      <w:r w:rsidR="0021217E" w:rsidRPr="00160526">
        <w:rPr>
          <w:rFonts w:ascii="Traditional Arabic" w:hAnsi="Traditional Arabic" w:cs="Traditional Arabic"/>
          <w:color w:val="444444"/>
          <w:sz w:val="32"/>
          <w:szCs w:val="32"/>
          <w:shd w:val="clear" w:color="auto" w:fill="FFFFFF"/>
        </w:rPr>
        <w:t>«</w:t>
      </w:r>
      <w:r w:rsidR="0021217E" w:rsidRPr="00160526">
        <w:rPr>
          <w:rFonts w:ascii="Traditional Arabic" w:hAnsi="Traditional Arabic" w:cs="Traditional Arabic"/>
          <w:sz w:val="32"/>
          <w:szCs w:val="32"/>
          <w:vertAlign w:val="superscript"/>
          <w:rtl/>
          <w:lang w:bidi="ar-EG"/>
        </w:rPr>
        <w:t xml:space="preserve"> </w:t>
      </w:r>
      <w:r w:rsidRPr="00160526">
        <w:rPr>
          <w:rFonts w:ascii="Traditional Arabic" w:hAnsi="Traditional Arabic" w:cs="Traditional Arabic"/>
          <w:sz w:val="32"/>
          <w:szCs w:val="32"/>
          <w:vertAlign w:val="superscript"/>
          <w:rtl/>
          <w:lang w:bidi="ar-EG"/>
        </w:rPr>
        <w:t>(</w:t>
      </w:r>
      <w:r w:rsidRPr="00160526">
        <w:rPr>
          <w:rStyle w:val="FootnoteReference"/>
          <w:rFonts w:ascii="Traditional Arabic" w:hAnsi="Traditional Arabic" w:cs="Traditional Arabic"/>
          <w:sz w:val="32"/>
          <w:szCs w:val="32"/>
          <w:rtl/>
          <w:lang w:bidi="ar-EG"/>
        </w:rPr>
        <w:footnoteReference w:id="3"/>
      </w:r>
      <w:r w:rsidRPr="00160526">
        <w:rPr>
          <w:rFonts w:ascii="Traditional Arabic" w:hAnsi="Traditional Arabic" w:cs="Traditional Arabic"/>
          <w:sz w:val="32"/>
          <w:szCs w:val="32"/>
          <w:vertAlign w:val="superscript"/>
          <w:rtl/>
          <w:lang w:bidi="ar-EG"/>
        </w:rPr>
        <w:t>)</w:t>
      </w:r>
      <w:r w:rsidRPr="00160526">
        <w:rPr>
          <w:rFonts w:ascii="Traditional Arabic" w:hAnsi="Traditional Arabic" w:cs="Traditional Arabic"/>
          <w:sz w:val="32"/>
          <w:szCs w:val="32"/>
          <w:rtl/>
          <w:lang w:bidi="ar-EG"/>
        </w:rPr>
        <w:t>.</w:t>
      </w:r>
    </w:p>
    <w:sectPr w:rsidR="00656872" w:rsidRPr="00160526" w:rsidSect="0016052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81" w:rsidRDefault="00741981" w:rsidP="00656872">
      <w:pPr>
        <w:spacing w:after="0" w:line="240" w:lineRule="auto"/>
      </w:pPr>
      <w:r>
        <w:separator/>
      </w:r>
    </w:p>
  </w:endnote>
  <w:endnote w:type="continuationSeparator" w:id="0">
    <w:p w:rsidR="00741981" w:rsidRDefault="00741981" w:rsidP="0065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81" w:rsidRDefault="00741981" w:rsidP="00656872">
      <w:pPr>
        <w:spacing w:after="0" w:line="240" w:lineRule="auto"/>
      </w:pPr>
      <w:r>
        <w:separator/>
      </w:r>
    </w:p>
  </w:footnote>
  <w:footnote w:type="continuationSeparator" w:id="0">
    <w:p w:rsidR="00741981" w:rsidRDefault="00741981" w:rsidP="00656872">
      <w:pPr>
        <w:spacing w:after="0" w:line="240" w:lineRule="auto"/>
      </w:pPr>
      <w:r>
        <w:continuationSeparator/>
      </w:r>
    </w:p>
  </w:footnote>
  <w:footnote w:id="1">
    <w:p w:rsidR="00656872" w:rsidRPr="0019101B" w:rsidRDefault="0019101B" w:rsidP="0019101B">
      <w:pPr>
        <w:pStyle w:val="FootnoteText"/>
        <w:jc w:val="both"/>
        <w:rPr>
          <w:rFonts w:cs="Traditional Arabic"/>
          <w:sz w:val="22"/>
          <w:szCs w:val="22"/>
          <w:rtl/>
          <w:lang w:bidi="ar-EG"/>
        </w:rPr>
      </w:pPr>
      <w:r w:rsidRPr="0019101B">
        <w:rPr>
          <w:rFonts w:cs="Traditional Arabic" w:hint="cs"/>
          <w:sz w:val="22"/>
          <w:szCs w:val="22"/>
          <w:rtl/>
        </w:rPr>
        <w:t>(</w:t>
      </w:r>
      <w:r w:rsidRPr="0019101B">
        <w:rPr>
          <w:rStyle w:val="FootnoteReference"/>
          <w:rFonts w:cs="Traditional Arabic"/>
          <w:sz w:val="22"/>
          <w:szCs w:val="22"/>
          <w:vertAlign w:val="baseline"/>
        </w:rPr>
        <w:footnoteRef/>
      </w:r>
      <w:r w:rsidRPr="0019101B">
        <w:rPr>
          <w:rFonts w:cs="Traditional Arabic" w:hint="cs"/>
          <w:sz w:val="22"/>
          <w:szCs w:val="22"/>
          <w:rtl/>
        </w:rPr>
        <w:t>)</w:t>
      </w:r>
      <w:r w:rsidR="00656872" w:rsidRPr="0019101B">
        <w:rPr>
          <w:rFonts w:cs="Traditional Arabic" w:hint="cs"/>
          <w:sz w:val="22"/>
          <w:szCs w:val="22"/>
          <w:rtl/>
          <w:lang w:bidi="ar-EG"/>
        </w:rPr>
        <w:t>صيانة الإنسان عن وسوسة الشيخ دحلان،</w:t>
      </w:r>
      <w:r>
        <w:rPr>
          <w:rFonts w:cs="Traditional Arabic" w:hint="cs"/>
          <w:sz w:val="22"/>
          <w:szCs w:val="22"/>
          <w:rtl/>
          <w:lang w:bidi="ar-EG"/>
        </w:rPr>
        <w:t xml:space="preserve"> السهسواني،</w:t>
      </w:r>
      <w:r w:rsidR="00656872" w:rsidRPr="0019101B">
        <w:rPr>
          <w:rFonts w:cs="Traditional Arabic" w:hint="cs"/>
          <w:sz w:val="22"/>
          <w:szCs w:val="22"/>
          <w:rtl/>
          <w:lang w:bidi="ar-EG"/>
        </w:rPr>
        <w:t xml:space="preserve"> ص</w:t>
      </w:r>
      <w:r>
        <w:rPr>
          <w:rFonts w:cs="Traditional Arabic" w:hint="cs"/>
          <w:sz w:val="22"/>
          <w:szCs w:val="22"/>
          <w:rtl/>
          <w:lang w:bidi="ar-EG"/>
        </w:rPr>
        <w:t>(</w:t>
      </w:r>
      <w:r w:rsidR="00656872" w:rsidRPr="0019101B">
        <w:rPr>
          <w:rFonts w:cs="Traditional Arabic" w:hint="cs"/>
          <w:sz w:val="22"/>
          <w:szCs w:val="22"/>
          <w:rtl/>
          <w:lang w:bidi="ar-EG"/>
        </w:rPr>
        <w:t>43</w:t>
      </w:r>
      <w:r>
        <w:rPr>
          <w:rFonts w:cs="Traditional Arabic" w:hint="cs"/>
          <w:sz w:val="22"/>
          <w:szCs w:val="22"/>
          <w:rtl/>
          <w:lang w:bidi="ar-EG"/>
        </w:rPr>
        <w:t>)</w:t>
      </w:r>
      <w:r w:rsidR="00656872" w:rsidRPr="0019101B">
        <w:rPr>
          <w:rFonts w:cs="Traditional Arabic" w:hint="cs"/>
          <w:sz w:val="22"/>
          <w:szCs w:val="22"/>
          <w:rtl/>
          <w:lang w:bidi="ar-EG"/>
        </w:rPr>
        <w:t>.</w:t>
      </w:r>
    </w:p>
  </w:footnote>
  <w:footnote w:id="2">
    <w:p w:rsidR="008C1DD2" w:rsidRPr="0019101B" w:rsidRDefault="0019101B" w:rsidP="0019101B">
      <w:pPr>
        <w:pStyle w:val="FootnoteText"/>
        <w:jc w:val="both"/>
        <w:rPr>
          <w:rFonts w:cs="Traditional Arabic"/>
          <w:sz w:val="22"/>
          <w:szCs w:val="22"/>
          <w:lang w:bidi="ar-EG"/>
        </w:rPr>
      </w:pPr>
      <w:r w:rsidRPr="0019101B">
        <w:rPr>
          <w:rFonts w:cs="Traditional Arabic" w:hint="cs"/>
          <w:sz w:val="22"/>
          <w:szCs w:val="22"/>
          <w:rtl/>
        </w:rPr>
        <w:t>(</w:t>
      </w:r>
      <w:r w:rsidRPr="0019101B">
        <w:rPr>
          <w:rStyle w:val="FootnoteReference"/>
          <w:rFonts w:cs="Traditional Arabic"/>
          <w:sz w:val="22"/>
          <w:szCs w:val="22"/>
          <w:vertAlign w:val="baseline"/>
        </w:rPr>
        <w:footnoteRef/>
      </w:r>
      <w:r w:rsidRPr="0019101B">
        <w:rPr>
          <w:rFonts w:cs="Traditional Arabic" w:hint="cs"/>
          <w:sz w:val="22"/>
          <w:szCs w:val="22"/>
          <w:rtl/>
        </w:rPr>
        <w:t>)</w:t>
      </w:r>
      <w:r w:rsidR="008C1DD2" w:rsidRPr="0019101B">
        <w:rPr>
          <w:rFonts w:cs="Traditional Arabic" w:hint="cs"/>
          <w:sz w:val="22"/>
          <w:szCs w:val="22"/>
          <w:rtl/>
          <w:lang w:bidi="ar-EG"/>
        </w:rPr>
        <w:t>رواه ابن جرير في تفسيره، ص</w:t>
      </w:r>
      <w:r>
        <w:rPr>
          <w:rFonts w:cs="Traditional Arabic" w:hint="cs"/>
          <w:sz w:val="22"/>
          <w:szCs w:val="22"/>
          <w:rtl/>
          <w:lang w:bidi="ar-EG"/>
        </w:rPr>
        <w:t>(</w:t>
      </w:r>
      <w:r w:rsidR="008C1DD2" w:rsidRPr="0019101B">
        <w:rPr>
          <w:rFonts w:cs="Traditional Arabic" w:hint="cs"/>
          <w:sz w:val="22"/>
          <w:szCs w:val="22"/>
          <w:rtl/>
          <w:lang w:bidi="ar-EG"/>
        </w:rPr>
        <w:t>6/9/112</w:t>
      </w:r>
      <w:r>
        <w:rPr>
          <w:rFonts w:cs="Traditional Arabic" w:hint="cs"/>
          <w:sz w:val="22"/>
          <w:szCs w:val="22"/>
          <w:rtl/>
          <w:lang w:bidi="ar-EG"/>
        </w:rPr>
        <w:t>)</w:t>
      </w:r>
      <w:r w:rsidR="008C1DD2" w:rsidRPr="0019101B">
        <w:rPr>
          <w:rFonts w:cs="Traditional Arabic" w:hint="cs"/>
          <w:sz w:val="22"/>
          <w:szCs w:val="22"/>
          <w:rtl/>
          <w:lang w:bidi="ar-EG"/>
        </w:rPr>
        <w:t>، من غير لفظ (وتكفل لهم بالأرزاق).</w:t>
      </w:r>
    </w:p>
  </w:footnote>
  <w:footnote w:id="3">
    <w:p w:rsidR="0019101B" w:rsidRPr="0019101B" w:rsidRDefault="0019101B" w:rsidP="0019101B">
      <w:pPr>
        <w:pStyle w:val="FootnoteText"/>
        <w:jc w:val="both"/>
        <w:rPr>
          <w:rFonts w:cs="Traditional Arabic"/>
          <w:sz w:val="22"/>
          <w:szCs w:val="22"/>
          <w:lang w:bidi="ar-EG"/>
        </w:rPr>
      </w:pPr>
      <w:r w:rsidRPr="0019101B">
        <w:rPr>
          <w:rFonts w:cs="Traditional Arabic" w:hint="cs"/>
          <w:sz w:val="22"/>
          <w:szCs w:val="22"/>
          <w:rtl/>
        </w:rPr>
        <w:t>(</w:t>
      </w:r>
      <w:r w:rsidRPr="0019101B">
        <w:rPr>
          <w:rStyle w:val="FootnoteReference"/>
          <w:rFonts w:cs="Traditional Arabic"/>
          <w:sz w:val="22"/>
          <w:szCs w:val="22"/>
          <w:vertAlign w:val="baseline"/>
        </w:rPr>
        <w:footnoteRef/>
      </w:r>
      <w:r w:rsidRPr="0019101B">
        <w:rPr>
          <w:rFonts w:cs="Traditional Arabic" w:hint="cs"/>
          <w:sz w:val="22"/>
          <w:szCs w:val="22"/>
          <w:rtl/>
        </w:rPr>
        <w:t>)</w:t>
      </w:r>
      <w:r w:rsidRPr="0019101B">
        <w:rPr>
          <w:rFonts w:cs="Traditional Arabic" w:hint="cs"/>
          <w:sz w:val="22"/>
          <w:szCs w:val="22"/>
          <w:rtl/>
          <w:lang w:bidi="ar-EG"/>
        </w:rPr>
        <w:t>صيانة الإنسان</w:t>
      </w:r>
      <w:r>
        <w:rPr>
          <w:rFonts w:cs="Traditional Arabic" w:hint="cs"/>
          <w:sz w:val="22"/>
          <w:szCs w:val="22"/>
          <w:rtl/>
          <w:lang w:bidi="ar-EG"/>
        </w:rPr>
        <w:t xml:space="preserve"> عن وسوسة الشيخ دحلان، السهسواني،</w:t>
      </w:r>
      <w:r w:rsidRPr="0019101B">
        <w:rPr>
          <w:rFonts w:cs="Traditional Arabic" w:hint="cs"/>
          <w:sz w:val="22"/>
          <w:szCs w:val="22"/>
          <w:rtl/>
          <w:lang w:bidi="ar-EG"/>
        </w:rPr>
        <w:t xml:space="preserve"> ص</w:t>
      </w:r>
      <w:r>
        <w:rPr>
          <w:rFonts w:cs="Traditional Arabic" w:hint="cs"/>
          <w:sz w:val="22"/>
          <w:szCs w:val="22"/>
          <w:rtl/>
          <w:lang w:bidi="ar-EG"/>
        </w:rPr>
        <w:t>(</w:t>
      </w:r>
      <w:r w:rsidRPr="0019101B">
        <w:rPr>
          <w:rFonts w:cs="Traditional Arabic" w:hint="cs"/>
          <w:sz w:val="22"/>
          <w:szCs w:val="22"/>
          <w:rtl/>
          <w:lang w:bidi="ar-EG"/>
        </w:rPr>
        <w:t>446</w:t>
      </w:r>
      <w:r>
        <w:rPr>
          <w:rFonts w:cs="Traditional Arabic" w:hint="cs"/>
          <w:sz w:val="22"/>
          <w:szCs w:val="22"/>
          <w:rtl/>
          <w:lang w:bidi="ar-EG"/>
        </w:rPr>
        <w:t>)</w:t>
      </w:r>
      <w:r w:rsidRPr="0019101B">
        <w:rPr>
          <w:rFonts w:cs="Traditional Arabic" w:hint="cs"/>
          <w:sz w:val="22"/>
          <w:szCs w:val="22"/>
          <w:rtl/>
          <w:lang w:bidi="ar-E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47D"/>
    <w:multiLevelType w:val="hybridMultilevel"/>
    <w:tmpl w:val="94A880B0"/>
    <w:lvl w:ilvl="0" w:tplc="B0A63E6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3A"/>
    <w:rsid w:val="0014533A"/>
    <w:rsid w:val="00160526"/>
    <w:rsid w:val="0019101B"/>
    <w:rsid w:val="002078CA"/>
    <w:rsid w:val="0021217E"/>
    <w:rsid w:val="00414720"/>
    <w:rsid w:val="004473EF"/>
    <w:rsid w:val="00480DE2"/>
    <w:rsid w:val="004A46DD"/>
    <w:rsid w:val="004B5971"/>
    <w:rsid w:val="00573180"/>
    <w:rsid w:val="00656872"/>
    <w:rsid w:val="00741981"/>
    <w:rsid w:val="008C1DD2"/>
    <w:rsid w:val="009060FD"/>
    <w:rsid w:val="00BB4AFF"/>
    <w:rsid w:val="00C83301"/>
    <w:rsid w:val="00FE1E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FD310-7118-42E0-898C-546A783D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0FD"/>
    <w:pPr>
      <w:ind w:left="720"/>
      <w:contextualSpacing/>
    </w:pPr>
  </w:style>
  <w:style w:type="paragraph" w:styleId="FootnoteText">
    <w:name w:val="footnote text"/>
    <w:basedOn w:val="Normal"/>
    <w:link w:val="FootnoteTextChar"/>
    <w:uiPriority w:val="99"/>
    <w:semiHidden/>
    <w:unhideWhenUsed/>
    <w:rsid w:val="006568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872"/>
    <w:rPr>
      <w:sz w:val="20"/>
      <w:szCs w:val="20"/>
    </w:rPr>
  </w:style>
  <w:style w:type="character" w:styleId="FootnoteReference">
    <w:name w:val="footnote reference"/>
    <w:basedOn w:val="DefaultParagraphFont"/>
    <w:uiPriority w:val="99"/>
    <w:semiHidden/>
    <w:unhideWhenUsed/>
    <w:rsid w:val="00656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29D3-DE58-4494-B330-5BC53F00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Amien</cp:lastModifiedBy>
  <cp:revision>2</cp:revision>
  <dcterms:created xsi:type="dcterms:W3CDTF">2016-05-10T11:40:00Z</dcterms:created>
  <dcterms:modified xsi:type="dcterms:W3CDTF">2016-05-10T11:40:00Z</dcterms:modified>
</cp:coreProperties>
</file>