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3CB" w:rsidRDefault="009753CB" w:rsidP="009C2F52">
      <w:pPr>
        <w:spacing w:before="120" w:after="12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  <w:t>هل كل من أقرَّ بالربوبية يوصف أنه مقرٌّ بالألوهية؟</w:t>
      </w:r>
    </w:p>
    <w:p w:rsidR="00EE137E" w:rsidRPr="00E30AA4" w:rsidRDefault="00EE137E" w:rsidP="009C2F52">
      <w:pPr>
        <w:spacing w:before="120" w:after="12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</w:p>
    <w:p w:rsidR="00646B3D" w:rsidRPr="00E30AA4" w:rsidRDefault="00E82273" w:rsidP="009C2F5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شبهة 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إثبات وصف الإقرار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بالألوهية لمن أقر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بالربوبية بحجة أن الرب هو الإله بعينه، مستدل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ين بسؤال الم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ي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ن لمن في القبر: من ربك؟</w:t>
      </w:r>
      <w:r w:rsidR="0073013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646B3D" w:rsidRPr="00E30AA4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73013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وفي تقرير هذه الشبهة يقول أحمد دحلان: 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ومن المعلوم أن من أقر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لله تعالى بالربوبية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فقد 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أ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قر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بالألوهية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إذ ليس الرب غير الإله، بل هو الإله بعينه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وفي الحديث: إن الم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ي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ن يسألان العبد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في قبره، فيقولان له: من ربك؟ ولم يقولا له: من إلهك؟ فدل</w:t>
      </w:r>
      <w:r w:rsidR="0073013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أن توحيد الربوبية هو توحيد الألوهية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606E4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73013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646B3D" w:rsidRPr="00E30AA4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="0073013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646B3D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646B3D" w:rsidRPr="00E30AA4" w:rsidRDefault="00646B3D" w:rsidP="009C2F5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الرد:</w:t>
      </w:r>
    </w:p>
    <w:p w:rsidR="0073013A" w:rsidRPr="00E30AA4" w:rsidRDefault="0073013A" w:rsidP="009C2F5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أولًا: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ذكر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الألوهية حاصل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هنا بدلالة اللزوم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فالإشهاد على الربوبية والإقرار بها له لازم يجب أن لا ينفك عنه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وهو حصر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استحقاق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العبادة بالرب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الخالق المالك وحده سبحانه دون سواه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قال الشيخ محمد بشير السهسواني: 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إن الإقرار بتوح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ي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د الربوبية مع 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حاظ قضية ب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د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هية، وهي: أن غير الرب لا يستحق العبادة يقتضي الإقرار بتوحيد الألوهية عند من له عقل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سليم وفهم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ٌ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مستقيم، فيكون الإقرار المذكور حجة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ً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عليهم، كما احتج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تعالى على المشركين بتوحيد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الرازق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ومالك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السمع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والأبصار... على وحدانية الألوهية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606E4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204610" w:rsidRPr="00E30AA4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3"/>
      </w:r>
      <w:r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204610" w:rsidRPr="00E30AA4" w:rsidRDefault="0073013A" w:rsidP="009C2F5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lang w:bidi="ar-EG"/>
        </w:rPr>
      </w:pPr>
      <w:r w:rsidRPr="00E30AA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ثانيًا:</w:t>
      </w:r>
      <w:r w:rsidR="0025258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لفظ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(الرب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) و(الإله) يجتمعان في دلالة أحدهما على الآخر في نفس الأمر، فالرب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هو المستح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ق للألوهية، والإله الحق لابد وأن يكون خالقًا رازقًا، وهذا الأمر لا يكون إلا في حق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الله </w:t>
      </w:r>
      <w:r w:rsidR="009C2F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سبحانه وتعالى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، فقوله في الآية: </w:t>
      </w:r>
      <w:r w:rsidR="00E30AA4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{أَلَسْتُ بِرَبِّكُمْ} [الأعراف: 172]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دال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ٌّ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معنى الألوهية، إذ إفراده بالربوبية مست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ز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م لإفراده بالعبادة، أما ما ع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ب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د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من دون الله تعالى في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سم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ى إلهًا باعتبار حصول تلك العبادة له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،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لا باعتبار استحقاقه لها أو حصول موجبها وهو الربوبية.</w:t>
      </w:r>
    </w:p>
    <w:p w:rsidR="0073013A" w:rsidRPr="00E30AA4" w:rsidRDefault="0073013A" w:rsidP="009C2F5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ثالثًا: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أما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قول: 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من المعلوم أن من أقر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لله تعالى بالربوبية فقد أقر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له بالألوهية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مخالف للنصوص الكثيرة الصريحة بأن المشركين كان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وا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مقر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ين لله تعالى بالربوبية، وأنهم يعبدون هذه الآلهة لتقر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بهم إلى الله تعالى ز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ْفى.</w:t>
      </w:r>
    </w:p>
    <w:p w:rsidR="0073013A" w:rsidRPr="00E30AA4" w:rsidRDefault="0073013A" w:rsidP="009C2F5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lastRenderedPageBreak/>
        <w:t>رابعًا:</w:t>
      </w:r>
      <w:r w:rsidR="0025258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الاستدلال بسؤال الم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ك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ي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ْ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ن للرجل في قبره: من ربك؟ ولا يقولان له: من إلهك، فهو لا يدل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ُّ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على اتحاد الربوبية والألوهية في المعنى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؛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يقول شيخ الإسلام ابن تيمية 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: 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المقصود هنا بيان حال العبد المحض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لله الذي يعبده ويستعينه فيعمل له ويستعينه، ويحق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ِّ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 قوله: </w:t>
      </w:r>
      <w:r w:rsidR="00E30AA4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{إِيَّاكَ نَعْبُدُ وَإِيَّاكَ نَسْتَعِينُ} [الفاتحة: 5]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، توحيد الإلهية وتوحيد الربوبية، وإن كانت الإلهية تتضمن الربوبية، والربوبية تستلزم الإلهية، فإن أحد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هما إذا تضم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ن الآخر عند الانفراد، لم يمنع أن يختص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َّ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بمعناه عند الاقتران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606E4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204610" w:rsidRPr="00E30AA4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4"/>
      </w:r>
      <w:r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p w:rsidR="00500D76" w:rsidRPr="00E30AA4" w:rsidRDefault="0073013A" w:rsidP="009C2F52">
      <w:pPr>
        <w:spacing w:before="120" w:after="12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E30AA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EG"/>
        </w:rPr>
        <w:t>خامسًا:</w:t>
      </w:r>
      <w:r w:rsidR="0025258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قال الشيخ محمد بن عبد الوهاب 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-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رحمه الله</w:t>
      </w:r>
      <w:r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-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:</w:t>
      </w:r>
      <w:r w:rsidR="00606E4A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»</w:t>
      </w:r>
      <w:r w:rsidR="00500D76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اعلم أن الربوبية والألوهية يجتمعان ويفترقان؛ </w:t>
      </w:r>
      <w:r w:rsidR="00204610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كما في قوله تعالى:</w:t>
      </w:r>
      <w:r w:rsidR="00E30AA4" w:rsidRPr="00E30AA4">
        <w:rPr>
          <w:rFonts w:ascii="Traditional Arabic" w:hAnsi="Traditional Arabic" w:cs="Traditional Arabic"/>
          <w:rtl/>
        </w:rPr>
        <w:t xml:space="preserve"> </w:t>
      </w:r>
      <w:r w:rsidR="00E30AA4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{قُلْ أَعُوذُ بِرَبِّ النَّاسِ (1) مَلِكِ النَّاسِ (2) إِلَهِ النَّاسِ} [الناس: 1 - 3]</w:t>
      </w:r>
      <w:r w:rsidR="009C2F52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</w:t>
      </w:r>
      <w:r w:rsidR="00500D76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وكما يُقال: (ربُّ العالمين وإله المرسلين)، وعند الإفراد يجتمعان كما في قول القائل: من رَّبك؟ إذا ثبت هذا فقول المَلَ</w:t>
      </w:r>
      <w:bookmarkStart w:id="0" w:name="_GoBack"/>
      <w:bookmarkEnd w:id="0"/>
      <w:r w:rsidR="00500D76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كَيْن للرجل في القبر: من ربك؟ معناه: من إلهك؟ لأن الربوبية التي أقرَّ بها المشركون ما يُمتحن أحد بها ... فالربوبية في هذا هي الألوهية، ليست قسيمةً لها، كما تكون قسيمةً لها عند الاقتران</w:t>
      </w:r>
      <w:r w:rsidR="00606E4A" w:rsidRPr="00E30AA4">
        <w:rPr>
          <w:rFonts w:ascii="Traditional Arabic" w:hAnsi="Traditional Arabic" w:cs="Traditional Arabic"/>
          <w:color w:val="444444"/>
          <w:sz w:val="32"/>
          <w:szCs w:val="32"/>
          <w:shd w:val="clear" w:color="auto" w:fill="FFFFFF"/>
        </w:rPr>
        <w:t>«</w:t>
      </w:r>
      <w:r w:rsidR="00606E4A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 xml:space="preserve"> </w:t>
      </w:r>
      <w:r w:rsidR="00500D76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(</w:t>
      </w:r>
      <w:r w:rsidR="00500D76" w:rsidRPr="00E30AA4">
        <w:rPr>
          <w:rStyle w:val="FootnoteReference"/>
          <w:rFonts w:ascii="Traditional Arabic" w:hAnsi="Traditional Arabic" w:cs="Traditional Arabic"/>
          <w:sz w:val="32"/>
          <w:szCs w:val="32"/>
          <w:rtl/>
          <w:lang w:bidi="ar-EG"/>
        </w:rPr>
        <w:footnoteReference w:id="5"/>
      </w:r>
      <w:r w:rsidR="00500D76" w:rsidRPr="00E30AA4">
        <w:rPr>
          <w:rFonts w:ascii="Traditional Arabic" w:hAnsi="Traditional Arabic" w:cs="Traditional Arabic"/>
          <w:sz w:val="32"/>
          <w:szCs w:val="32"/>
          <w:vertAlign w:val="superscript"/>
          <w:rtl/>
          <w:lang w:bidi="ar-EG"/>
        </w:rPr>
        <w:t>)</w:t>
      </w:r>
      <w:r w:rsidR="00500D76" w:rsidRPr="00E30AA4">
        <w:rPr>
          <w:rFonts w:ascii="Traditional Arabic" w:hAnsi="Traditional Arabic" w:cs="Traditional Arabic"/>
          <w:sz w:val="32"/>
          <w:szCs w:val="32"/>
          <w:rtl/>
          <w:lang w:bidi="ar-EG"/>
        </w:rPr>
        <w:t>.</w:t>
      </w:r>
    </w:p>
    <w:sectPr w:rsidR="00500D76" w:rsidRPr="00E30AA4" w:rsidSect="00EE137E">
      <w:pgSz w:w="11906" w:h="16838"/>
      <w:pgMar w:top="1440" w:right="1800" w:bottom="1440" w:left="180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84" w:rsidRDefault="00CE3584" w:rsidP="00646B3D">
      <w:pPr>
        <w:spacing w:after="0" w:line="240" w:lineRule="auto"/>
      </w:pPr>
      <w:r>
        <w:separator/>
      </w:r>
    </w:p>
  </w:endnote>
  <w:endnote w:type="continuationSeparator" w:id="0">
    <w:p w:rsidR="00CE3584" w:rsidRDefault="00CE3584" w:rsidP="00646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84" w:rsidRDefault="00CE3584" w:rsidP="00646B3D">
      <w:pPr>
        <w:spacing w:after="0" w:line="240" w:lineRule="auto"/>
      </w:pPr>
      <w:r>
        <w:separator/>
      </w:r>
    </w:p>
  </w:footnote>
  <w:footnote w:type="continuationSeparator" w:id="0">
    <w:p w:rsidR="00CE3584" w:rsidRDefault="00CE3584" w:rsidP="00646B3D">
      <w:pPr>
        <w:spacing w:after="0" w:line="240" w:lineRule="auto"/>
      </w:pPr>
      <w:r>
        <w:continuationSeparator/>
      </w:r>
    </w:p>
  </w:footnote>
  <w:footnote w:id="1">
    <w:p w:rsidR="00646B3D" w:rsidRPr="00E30AA4" w:rsidRDefault="009753CB" w:rsidP="009753CB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E30AA4">
        <w:rPr>
          <w:rFonts w:ascii="Traditional Arabic" w:hAnsi="Traditional Arabic" w:cs="Traditional Arabic"/>
          <w:sz w:val="28"/>
          <w:szCs w:val="28"/>
          <w:rtl/>
        </w:rPr>
        <w:t>(</w:t>
      </w:r>
      <w:r w:rsidRPr="00E30AA4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E30AA4">
        <w:rPr>
          <w:rFonts w:ascii="Traditional Arabic" w:hAnsi="Traditional Arabic" w:cs="Traditional Arabic"/>
          <w:sz w:val="28"/>
          <w:szCs w:val="28"/>
          <w:rtl/>
        </w:rPr>
        <w:t>)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الحديث في صحيح مسلم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،كتاب الجنة وصفة نعيمها وأ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هلها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،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باب عرض مقعد الميت من الجنة أو النار عليه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،(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2871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2">
    <w:p w:rsidR="00646B3D" w:rsidRPr="00E30AA4" w:rsidRDefault="009753CB" w:rsidP="009753CB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E30AA4">
        <w:rPr>
          <w:rFonts w:ascii="Traditional Arabic" w:hAnsi="Traditional Arabic" w:cs="Traditional Arabic"/>
          <w:sz w:val="28"/>
          <w:szCs w:val="28"/>
          <w:rtl/>
        </w:rPr>
        <w:t>(</w:t>
      </w:r>
      <w:r w:rsidRPr="00E30AA4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E30AA4">
        <w:rPr>
          <w:rFonts w:ascii="Traditional Arabic" w:hAnsi="Traditional Arabic" w:cs="Traditional Arabic"/>
          <w:sz w:val="28"/>
          <w:szCs w:val="28"/>
          <w:rtl/>
        </w:rPr>
        <w:t>)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الدرر السنية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في الرد على الوهابية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،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أحمد زيني دحلان،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ص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40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646B3D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3">
    <w:p w:rsidR="00204610" w:rsidRPr="00E30AA4" w:rsidRDefault="009753CB" w:rsidP="009753CB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E30AA4">
        <w:rPr>
          <w:rFonts w:ascii="Traditional Arabic" w:hAnsi="Traditional Arabic" w:cs="Traditional Arabic"/>
          <w:sz w:val="28"/>
          <w:szCs w:val="28"/>
          <w:rtl/>
        </w:rPr>
        <w:t>(</w:t>
      </w:r>
      <w:r w:rsidRPr="00E30AA4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E30AA4">
        <w:rPr>
          <w:rFonts w:ascii="Traditional Arabic" w:hAnsi="Traditional Arabic" w:cs="Traditional Arabic"/>
          <w:sz w:val="28"/>
          <w:szCs w:val="28"/>
          <w:rtl/>
        </w:rPr>
        <w:t>)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صيانة الإنسان عن وسوسة الشيخ دحلان،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محمد بشير السهسواني،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ص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(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43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4">
    <w:p w:rsidR="00204610" w:rsidRPr="00E30AA4" w:rsidRDefault="009753CB" w:rsidP="009753CB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E30AA4">
        <w:rPr>
          <w:rFonts w:ascii="Traditional Arabic" w:hAnsi="Traditional Arabic" w:cs="Traditional Arabic"/>
          <w:sz w:val="28"/>
          <w:szCs w:val="28"/>
          <w:rtl/>
        </w:rPr>
        <w:t>(</w:t>
      </w:r>
      <w:r w:rsidRPr="00E30AA4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E30AA4">
        <w:rPr>
          <w:rFonts w:ascii="Traditional Arabic" w:hAnsi="Traditional Arabic" w:cs="Traditional Arabic"/>
          <w:sz w:val="28"/>
          <w:szCs w:val="28"/>
          <w:rtl/>
        </w:rPr>
        <w:t>)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مجموع الفتاوى،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 xml:space="preserve"> ابن تيمية،(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10/283-284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)</w:t>
      </w:r>
      <w:r w:rsidR="00204610"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.</w:t>
      </w:r>
    </w:p>
  </w:footnote>
  <w:footnote w:id="5">
    <w:p w:rsidR="00500D76" w:rsidRPr="00E30AA4" w:rsidRDefault="00500D76" w:rsidP="00500D76">
      <w:pPr>
        <w:pStyle w:val="FootnoteText"/>
        <w:jc w:val="both"/>
        <w:rPr>
          <w:rFonts w:ascii="Traditional Arabic" w:hAnsi="Traditional Arabic" w:cs="Traditional Arabic"/>
          <w:sz w:val="28"/>
          <w:szCs w:val="28"/>
          <w:rtl/>
          <w:lang w:bidi="ar-EG"/>
        </w:rPr>
      </w:pPr>
      <w:r w:rsidRPr="00E30AA4">
        <w:rPr>
          <w:rFonts w:ascii="Traditional Arabic" w:hAnsi="Traditional Arabic" w:cs="Traditional Arabic"/>
          <w:sz w:val="28"/>
          <w:szCs w:val="28"/>
          <w:rtl/>
        </w:rPr>
        <w:t>(</w:t>
      </w:r>
      <w:r w:rsidRPr="00E30AA4">
        <w:rPr>
          <w:rStyle w:val="FootnoteReference"/>
          <w:rFonts w:ascii="Traditional Arabic" w:hAnsi="Traditional Arabic" w:cs="Traditional Arabic"/>
          <w:sz w:val="28"/>
          <w:szCs w:val="28"/>
          <w:vertAlign w:val="baseline"/>
        </w:rPr>
        <w:footnoteRef/>
      </w:r>
      <w:r w:rsidRPr="00E30AA4">
        <w:rPr>
          <w:rFonts w:ascii="Traditional Arabic" w:hAnsi="Traditional Arabic" w:cs="Traditional Arabic"/>
          <w:sz w:val="28"/>
          <w:szCs w:val="28"/>
          <w:rtl/>
        </w:rPr>
        <w:t>)</w:t>
      </w:r>
      <w:r w:rsidRPr="00E30AA4">
        <w:rPr>
          <w:rFonts w:ascii="Traditional Arabic" w:hAnsi="Traditional Arabic" w:cs="Traditional Arabic"/>
          <w:sz w:val="28"/>
          <w:szCs w:val="28"/>
          <w:rtl/>
          <w:lang w:bidi="ar-EG"/>
        </w:rPr>
        <w:t>مجموع مؤلفات الشيخ محمد بن عبد الوهاب، ص(5/17).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6534E"/>
    <w:multiLevelType w:val="hybridMultilevel"/>
    <w:tmpl w:val="350C6598"/>
    <w:lvl w:ilvl="0" w:tplc="1262939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2447D"/>
    <w:multiLevelType w:val="hybridMultilevel"/>
    <w:tmpl w:val="94A880B0"/>
    <w:lvl w:ilvl="0" w:tplc="B0A63E6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B3D"/>
    <w:rsid w:val="00204610"/>
    <w:rsid w:val="002078CA"/>
    <w:rsid w:val="0025258F"/>
    <w:rsid w:val="002720CA"/>
    <w:rsid w:val="00500D76"/>
    <w:rsid w:val="005557CF"/>
    <w:rsid w:val="00573180"/>
    <w:rsid w:val="00606E4A"/>
    <w:rsid w:val="00646B3D"/>
    <w:rsid w:val="006848E5"/>
    <w:rsid w:val="006E7E4B"/>
    <w:rsid w:val="0073013A"/>
    <w:rsid w:val="009753CB"/>
    <w:rsid w:val="009C2F52"/>
    <w:rsid w:val="009D0BD0"/>
    <w:rsid w:val="00B046C2"/>
    <w:rsid w:val="00BD0423"/>
    <w:rsid w:val="00CE3584"/>
    <w:rsid w:val="00E30AA4"/>
    <w:rsid w:val="00E82273"/>
    <w:rsid w:val="00EE137E"/>
    <w:rsid w:val="00EE786E"/>
    <w:rsid w:val="00FD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3A1791-D17E-40C9-B829-81D56B99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646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46B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6B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6B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204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6C3E-D65D-4732-AC03-162F08A19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Amien</cp:lastModifiedBy>
  <cp:revision>12</cp:revision>
  <cp:lastPrinted>2016-04-17T09:43:00Z</cp:lastPrinted>
  <dcterms:created xsi:type="dcterms:W3CDTF">2016-03-02T12:08:00Z</dcterms:created>
  <dcterms:modified xsi:type="dcterms:W3CDTF">2016-05-12T12:39:00Z</dcterms:modified>
</cp:coreProperties>
</file>