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AB" w:rsidRPr="00665A25" w:rsidRDefault="00665A25" w:rsidP="00665A25">
      <w:pPr>
        <w:tabs>
          <w:tab w:val="left" w:pos="6605"/>
        </w:tabs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r w:rsidR="00FB7DAB" w:rsidRPr="00665A2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الاستدلال بدلالة موسى عن الله في حواره لفرعون بصفات ربوبيته</w:t>
      </w:r>
    </w:p>
    <w:p w:rsidR="00573180" w:rsidRPr="00665A25" w:rsidRDefault="0002323D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 في تعريفهم العبادة بالاستدلال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بقوله تعالى 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ـ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محاورة فرعون وموسى </w:t>
      </w:r>
      <w:r w:rsidR="00C22CB3" w:rsidRPr="00665A25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5"/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{</w:t>
      </w:r>
      <w:r w:rsidR="00665A25" w:rsidRPr="00665A2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5A25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قَالَ فِرْعَوْنُ وَمَا رَبُّ الْعَالَمِينَ (23) قَالَ رَبُّ السَّمَاوَاتِ وَالْأَرْضِ وَمَا بَيْنَهُمَا إِنْ كُنْتُمْ مُوقِنِينَ</w:t>
      </w:r>
      <w:r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}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[الشعراء: 23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24]، قالوا: فذ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الجواب عن السؤال الطالب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لماهية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الإله: القدرة على الاختراع، ولولا أن حقيقة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الإلهية هي القدرة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الاختراع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 يكن هذا الجواب مطابقًا للسؤال</w:t>
      </w:r>
      <w:r w:rsidR="00C22CB3" w:rsidRPr="00665A2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665A2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22CB3" w:rsidRPr="00665A2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53844" w:rsidRPr="00665A25" w:rsidRDefault="00D53844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665A2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الرد:</w:t>
      </w:r>
    </w:p>
    <w:p w:rsidR="00C22CB3" w:rsidRPr="00665A25" w:rsidRDefault="00C22CB3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65A25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>أولًا:</w:t>
      </w:r>
      <w:r w:rsidR="00067658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أن السؤال لم يكن عن الماهية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، وإنما هو سؤال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أظه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الجح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والنكران أن يكون رب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غيره واد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عى أنه هو الرب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الأعلى، فسؤاله سؤال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إنكار للرب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يدعو موسى </w:t>
      </w:r>
      <w:r w:rsidR="00665A2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عليه السلام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عبادته وتوحيده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bookmarkStart w:id="0" w:name="_GoBack"/>
      <w:bookmarkEnd w:id="0"/>
    </w:p>
    <w:p w:rsidR="00FB7DAB" w:rsidRPr="00665A25" w:rsidRDefault="00D53844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شيخ الإسلام ابن تيمية 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5358E4" w:rsidRPr="00665A25">
        <w:rPr>
          <w:rFonts w:ascii="Traditional Arabic" w:hAnsi="Traditional Arabic" w:cs="Traditional Arabic"/>
          <w:sz w:val="32"/>
          <w:szCs w:val="32"/>
          <w:shd w:val="clear" w:color="auto" w:fill="FFFFFF"/>
        </w:rPr>
        <w:t>»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وقد ظن بعض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الناس أن سؤال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فرعون (وما رب العالمين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؟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)، هو سؤال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ماهية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، كالذي يسأل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حدود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الأشياء فيقول: ما الإنسان؟ ما الم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ك؟ ما الج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C22CB3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ي؟ ونحو ذلك، قالوا: ولم</w:t>
      </w:r>
      <w:r w:rsidR="001031E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ا لم يكن للمس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ول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ماهية ع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موسى عن الجواب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بيان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ي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عرف به وهو قول (رب السماوات والأرض)، وهذا قول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قاله بعض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المتأخرين وهو باطل، فإن فرعون إنما استفهم استفهام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إنكار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وجحد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، لم يسأل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ماهية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رب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ٍّ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أقر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بوجوده، بل كان م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FB7DAB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رًا له جاحدًا</w:t>
      </w:r>
      <w:r w:rsidR="005358E4" w:rsidRPr="00665A25">
        <w:rPr>
          <w:rFonts w:ascii="Traditional Arabic" w:hAnsi="Traditional Arabic" w:cs="Traditional Arabic"/>
          <w:sz w:val="32"/>
          <w:szCs w:val="32"/>
          <w:shd w:val="clear" w:color="auto" w:fill="FFFFFF"/>
        </w:rPr>
        <w:t>«</w:t>
      </w:r>
      <w:r w:rsidR="00FB7DAB" w:rsidRPr="00665A2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665A25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FB7DAB" w:rsidRPr="00665A2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53844" w:rsidRPr="00665A25" w:rsidRDefault="00FB7DAB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665A25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>ثانيًا:</w:t>
      </w:r>
      <w:r w:rsidR="00665A2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لا تلازم بين مقدمت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هم ونتيجت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ها، فجواب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موسى </w:t>
      </w:r>
      <w:r w:rsidR="00665A2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عليه السلام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ليس فيه ما يفيد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تفسير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الإله بالقادر على الاختراع، ونفي أن تكون بمعنى المعبود؛ إذ يصح أن يقرر استحقاق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665A2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سبحانه وتعالى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للعبادة وحده بذكر صفاته وأفعاله الدال</w:t>
      </w:r>
      <w:r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ة على تفرده بالخلق والملك والتدبير، وهذا في القرآن كثير كما في قوله تعالى: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{يَا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أَيُّهَا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النَّاسُ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اذْكُرُوا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نِعْمَتَ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اللَّهِ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عَلَيْكُمْ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هَلْ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مِنْ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خَالِقٍ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غَيْرُ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اللَّهِ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يَرْزُقُكُمْ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مِنَ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السَّمَاءِ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وَالْأَرْضِ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لَا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إِلَهَ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إِلَّا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هُوَ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فَأَنَّى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>تُؤْفَكُونَ}</w:t>
      </w:r>
      <w:r w:rsidR="00D41FBC" w:rsidRPr="00665A25">
        <w:rPr>
          <w:rFonts w:ascii="Traditional Arabic" w:hAnsi="Traditional Arabic" w:cs="Traditional Arabic"/>
          <w:color w:val="00B050"/>
          <w:sz w:val="32"/>
          <w:szCs w:val="32"/>
          <w:rtl/>
          <w:lang w:bidi="ar-EG"/>
        </w:rPr>
        <w:t xml:space="preserve"> </w:t>
      </w:r>
      <w:r w:rsidR="00D53844" w:rsidRPr="00665A25">
        <w:rPr>
          <w:rFonts w:ascii="Traditional Arabic" w:hAnsi="Traditional Arabic" w:cs="Traditional Arabic"/>
          <w:sz w:val="32"/>
          <w:szCs w:val="32"/>
          <w:rtl/>
          <w:lang w:bidi="ar-EG"/>
        </w:rPr>
        <w:t>[فاطر: 3].</w:t>
      </w:r>
    </w:p>
    <w:p w:rsidR="0002323D" w:rsidRPr="00665A25" w:rsidRDefault="0002323D" w:rsidP="00665A25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02323D" w:rsidRPr="00665A25" w:rsidSect="00665A2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AB" w:rsidRDefault="006E26AB" w:rsidP="0002323D">
      <w:pPr>
        <w:spacing w:after="0" w:line="240" w:lineRule="auto"/>
      </w:pPr>
      <w:r>
        <w:separator/>
      </w:r>
    </w:p>
  </w:endnote>
  <w:endnote w:type="continuationSeparator" w:id="0">
    <w:p w:rsidR="006E26AB" w:rsidRDefault="006E26AB" w:rsidP="0002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AB" w:rsidRDefault="006E26AB" w:rsidP="0002323D">
      <w:pPr>
        <w:spacing w:after="0" w:line="240" w:lineRule="auto"/>
      </w:pPr>
      <w:r>
        <w:separator/>
      </w:r>
    </w:p>
  </w:footnote>
  <w:footnote w:type="continuationSeparator" w:id="0">
    <w:p w:rsidR="006E26AB" w:rsidRDefault="006E26AB" w:rsidP="0002323D">
      <w:pPr>
        <w:spacing w:after="0" w:line="240" w:lineRule="auto"/>
      </w:pPr>
      <w:r>
        <w:continuationSeparator/>
      </w:r>
    </w:p>
  </w:footnote>
  <w:footnote w:id="1">
    <w:p w:rsidR="0002323D" w:rsidRPr="00FB7DAB" w:rsidRDefault="00FB7DAB" w:rsidP="00FB7DAB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02323D" w:rsidRPr="00FB7DAB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02323D" w:rsidRPr="00FB7DAB">
        <w:rPr>
          <w:rFonts w:cs="Traditional Arabic" w:hint="cs"/>
          <w:sz w:val="24"/>
          <w:szCs w:val="24"/>
          <w:rtl/>
          <w:lang w:bidi="ar-EG"/>
        </w:rPr>
        <w:t>شرح الأسماء الحسنى</w:t>
      </w:r>
      <w:r>
        <w:rPr>
          <w:rFonts w:cs="Traditional Arabic" w:hint="cs"/>
          <w:sz w:val="24"/>
          <w:szCs w:val="24"/>
          <w:rtl/>
          <w:lang w:bidi="ar-EG"/>
        </w:rPr>
        <w:t>،ا</w:t>
      </w:r>
      <w:r w:rsidR="0002323D" w:rsidRPr="00FB7DAB">
        <w:rPr>
          <w:rFonts w:cs="Traditional Arabic" w:hint="cs"/>
          <w:sz w:val="24"/>
          <w:szCs w:val="24"/>
          <w:rtl/>
          <w:lang w:bidi="ar-EG"/>
        </w:rPr>
        <w:t>لرازي،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02323D" w:rsidRPr="00FB7DAB">
        <w:rPr>
          <w:rFonts w:cs="Traditional Arabic" w:hint="cs"/>
          <w:sz w:val="24"/>
          <w:szCs w:val="24"/>
          <w:rtl/>
          <w:lang w:bidi="ar-EG"/>
        </w:rPr>
        <w:t>124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02323D" w:rsidRPr="00FB7DAB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D53844" w:rsidRPr="00FB7DAB" w:rsidRDefault="00FB7DAB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D53844" w:rsidRPr="00FB7DAB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D53844" w:rsidRPr="00FB7DAB">
        <w:rPr>
          <w:rFonts w:cs="Traditional Arabic" w:hint="cs"/>
          <w:sz w:val="24"/>
          <w:szCs w:val="24"/>
          <w:rtl/>
          <w:lang w:bidi="ar-EG"/>
        </w:rPr>
        <w:t>بيان تلبيس الجهمية،</w:t>
      </w:r>
      <w:r w:rsidR="00DB680E">
        <w:rPr>
          <w:rFonts w:cs="Traditional Arabic" w:hint="cs"/>
          <w:sz w:val="24"/>
          <w:szCs w:val="24"/>
          <w:rtl/>
          <w:lang w:bidi="ar-EG"/>
        </w:rPr>
        <w:t xml:space="preserve"> ابن تيمية،</w:t>
      </w:r>
      <w:r w:rsidR="00D53844" w:rsidRPr="00FB7DAB">
        <w:rPr>
          <w:rFonts w:cs="Traditional Arabic" w:hint="cs"/>
          <w:sz w:val="24"/>
          <w:szCs w:val="24"/>
          <w:rtl/>
          <w:lang w:bidi="ar-EG"/>
        </w:rPr>
        <w:t xml:space="preserve"> ص</w:t>
      </w:r>
      <w:r w:rsidR="00DB680E">
        <w:rPr>
          <w:rFonts w:cs="Traditional Arabic" w:hint="cs"/>
          <w:sz w:val="24"/>
          <w:szCs w:val="24"/>
          <w:rtl/>
          <w:lang w:bidi="ar-EG"/>
        </w:rPr>
        <w:t>(</w:t>
      </w:r>
      <w:r w:rsidR="00D53844" w:rsidRPr="00FB7DAB">
        <w:rPr>
          <w:rFonts w:cs="Traditional Arabic" w:hint="cs"/>
          <w:sz w:val="24"/>
          <w:szCs w:val="24"/>
          <w:rtl/>
          <w:lang w:bidi="ar-EG"/>
        </w:rPr>
        <w:t>1/524</w:t>
      </w:r>
      <w:r w:rsidR="00DB680E">
        <w:rPr>
          <w:rFonts w:cs="Traditional Arabic" w:hint="cs"/>
          <w:sz w:val="24"/>
          <w:szCs w:val="24"/>
          <w:rtl/>
          <w:lang w:bidi="ar-EG"/>
        </w:rPr>
        <w:t>)</w:t>
      </w:r>
      <w:r w:rsidR="00D53844" w:rsidRPr="00FB7DAB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C6775"/>
    <w:multiLevelType w:val="hybridMultilevel"/>
    <w:tmpl w:val="2DE28DE6"/>
    <w:lvl w:ilvl="0" w:tplc="A98253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23D"/>
    <w:rsid w:val="000154C8"/>
    <w:rsid w:val="0002323D"/>
    <w:rsid w:val="000279E8"/>
    <w:rsid w:val="00067658"/>
    <w:rsid w:val="000F1078"/>
    <w:rsid w:val="001031E4"/>
    <w:rsid w:val="001515C4"/>
    <w:rsid w:val="0015794C"/>
    <w:rsid w:val="002078CA"/>
    <w:rsid w:val="002324A7"/>
    <w:rsid w:val="00327977"/>
    <w:rsid w:val="00366912"/>
    <w:rsid w:val="004751AB"/>
    <w:rsid w:val="005358E4"/>
    <w:rsid w:val="00573180"/>
    <w:rsid w:val="00665A25"/>
    <w:rsid w:val="006A1CEA"/>
    <w:rsid w:val="006E26AB"/>
    <w:rsid w:val="00A07CE8"/>
    <w:rsid w:val="00A572DF"/>
    <w:rsid w:val="00C22CB3"/>
    <w:rsid w:val="00D41FBC"/>
    <w:rsid w:val="00D53844"/>
    <w:rsid w:val="00DB680E"/>
    <w:rsid w:val="00DE50CC"/>
    <w:rsid w:val="00F339AF"/>
    <w:rsid w:val="00FB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2E21F9-FA71-4003-A79F-BA4AC66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3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2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2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F828-4989-4DA7-9A0F-90418B75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14</cp:revision>
  <dcterms:created xsi:type="dcterms:W3CDTF">2016-03-02T11:22:00Z</dcterms:created>
  <dcterms:modified xsi:type="dcterms:W3CDTF">2016-05-14T12:04:00Z</dcterms:modified>
</cp:coreProperties>
</file>