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F2" w:rsidRPr="00A36EF2" w:rsidRDefault="00A36EF2" w:rsidP="00A36EF2">
      <w:pPr>
        <w:spacing w:before="20" w:after="20" w:line="240" w:lineRule="auto"/>
        <w:ind w:firstLine="26"/>
        <w:jc w:val="center"/>
        <w:rPr>
          <w:rFonts w:ascii="Traditional Arabic" w:hAnsi="Traditional Arabic" w:cs="SKR HEAD1"/>
          <w:sz w:val="32"/>
          <w:szCs w:val="32"/>
          <w:rtl/>
          <w:lang w:bidi="ar-EG"/>
        </w:rPr>
      </w:pPr>
      <w:r w:rsidRPr="00A36EF2">
        <w:rPr>
          <w:rFonts w:ascii="Traditional Arabic" w:hAnsi="Traditional Arabic" w:cs="SKR HEAD1" w:hint="cs"/>
          <w:sz w:val="32"/>
          <w:szCs w:val="32"/>
          <w:rtl/>
          <w:lang w:bidi="ar-EG"/>
        </w:rPr>
        <w:t>كونُ تعريفِهم للعبادةِ ومعنى (لا إله إلا الله) شبهةٌ في نفسِه</w:t>
      </w:r>
    </w:p>
    <w:p w:rsidR="00D47ADC" w:rsidRDefault="005E4C7A" w:rsidP="00F0572E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5E4C7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شبهة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5E4C7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كون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5E4C7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تعريفهم للعبادة ومعنى (لا إله إلا الله) يعد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5E4C7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شبهة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5E4C7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نفسه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وذلك لم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كان قيد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التعريف اعتقاد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الربوبية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واستحقاق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العبادة في المعبود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فصاروا بذلك ينفون ما يقع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فيه كثير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الناس من الاستغاثة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بالأموات ودعائ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والذبح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والنذر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لهم ونحو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ذلك من أنواع العبادات، فصاروا ينفون أن يكون ذلك صرفًا لشيء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العبادة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لغير الله تعالى، إن لم يكن ذلك عندهم من تعظيم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شعائر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 تعالى التي أمر بها وجعلها من تقوى القلوب، معل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لين ذلك أن هذه الأقوال والأفعال لم تنبعث من قلوب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تعتقد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استقلال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التأثير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والتدبير</w:t>
      </w:r>
      <w:r w:rsid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فيمن توجهت إليه.</w:t>
      </w:r>
    </w:p>
    <w:p w:rsidR="005E4C7A" w:rsidRPr="00D65DAC" w:rsidRDefault="005E4C7A" w:rsidP="00D65DAC">
      <w:pPr>
        <w:spacing w:before="20" w:after="20" w:line="240" w:lineRule="auto"/>
        <w:ind w:firstLine="26"/>
        <w:jc w:val="both"/>
        <w:rPr>
          <w:rFonts w:ascii="Traditional Arabic" w:hAnsi="Traditional Arabic" w:cs="SKR HEAD1"/>
          <w:sz w:val="32"/>
          <w:szCs w:val="32"/>
          <w:rtl/>
          <w:lang w:bidi="ar-EG"/>
        </w:rPr>
      </w:pPr>
      <w:r w:rsidRPr="00D65DAC">
        <w:rPr>
          <w:rFonts w:ascii="Traditional Arabic" w:hAnsi="Traditional Arabic" w:cs="SKR HEAD1" w:hint="cs"/>
          <w:sz w:val="32"/>
          <w:szCs w:val="32"/>
          <w:rtl/>
          <w:lang w:bidi="ar-EG"/>
        </w:rPr>
        <w:t>الرد</w:t>
      </w:r>
      <w:r w:rsidR="00B961DC" w:rsidRPr="00D65DAC">
        <w:rPr>
          <w:rFonts w:ascii="Traditional Arabic" w:hAnsi="Traditional Arabic" w:cs="SKR HEAD1" w:hint="cs"/>
          <w:sz w:val="32"/>
          <w:szCs w:val="32"/>
          <w:rtl/>
          <w:lang w:bidi="ar-EG"/>
        </w:rPr>
        <w:t>:</w:t>
      </w:r>
    </w:p>
    <w:p w:rsidR="00C73405" w:rsidRPr="00D65DAC" w:rsidRDefault="00D65DAC" w:rsidP="00D65DAC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D65D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هذا مخالف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لما جاء في نصوص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كثيرة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أن المشركين السابقين كانوا مقر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ين بوحدانية الله تعالى في الخلق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وأن له ملك السماوات والأرض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وأنه مدبر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الأمر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وحده، وأن الأصنام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التي كانوا يعبدونها لم تكن عندهم سوى شفعاء يشفعون لهم عند الله، ولم يكن لها من الملك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والتدبير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شيء، وقد تنو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عت الدلالات في كتاب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تقرير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هذا المعنى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C73405" w:rsidRPr="00D65DA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ومن ذلك:</w:t>
      </w:r>
    </w:p>
    <w:p w:rsidR="00C73405" w:rsidRDefault="00C73405" w:rsidP="0007471E">
      <w:pPr>
        <w:pStyle w:val="ListParagraph"/>
        <w:numPr>
          <w:ilvl w:val="1"/>
          <w:numId w:val="1"/>
        </w:numPr>
        <w:spacing w:before="20" w:after="20" w:line="240" w:lineRule="auto"/>
        <w:ind w:left="0"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ما يدل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أن اعتقاد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قائم على إفراد الله تعالى بهذه المعاني، ومع ذلك سم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ى الله تعالى ما يصرفونه للأصنام والأوثان عبادة منهم لها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تعالى: 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قُلْ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مَنْ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يَرْزُقُكُمْ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مِنَ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السَّمَاءِ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وَالْأَرْضِ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أَمَّنْ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يَمْلِكُ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السَّمْعَ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وَالْأَبْصَارَ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وَمَنْ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يُخْرِجُ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الْحَيَّ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مِنَ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الْمَيِّتِ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وَيُخْرِجُ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الْمَيِّتَ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مِنَ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الْحَيِّ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وَمَنْ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يُدَبِّرُ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الْأَمْرَ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فَسَيَقُولُونَ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اللَّهُ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فَقُلْ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أَفَلَا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تَتَّقُونَ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}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07471E">
        <w:rPr>
          <w:rFonts w:ascii="Traditional Arabic" w:hAnsi="Traditional Arabic" w:cs="Traditional Arabic"/>
          <w:rtl/>
          <w:lang w:bidi="ar-EG"/>
        </w:rPr>
        <w:t>[</w:t>
      </w:r>
      <w:r w:rsidRPr="0007471E">
        <w:rPr>
          <w:rFonts w:ascii="Traditional Arabic" w:hAnsi="Traditional Arabic" w:cs="Traditional Arabic" w:hint="cs"/>
          <w:rtl/>
          <w:lang w:bidi="ar-EG"/>
        </w:rPr>
        <w:t>يونس</w:t>
      </w:r>
      <w:r w:rsidRPr="0007471E">
        <w:rPr>
          <w:rFonts w:ascii="Traditional Arabic" w:hAnsi="Traditional Arabic" w:cs="Traditional Arabic"/>
          <w:rtl/>
          <w:lang w:bidi="ar-EG"/>
        </w:rPr>
        <w:t>: 31]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C73405" w:rsidRDefault="00C73405" w:rsidP="0007471E">
      <w:pPr>
        <w:pStyle w:val="ListParagraph"/>
        <w:numPr>
          <w:ilvl w:val="1"/>
          <w:numId w:val="1"/>
        </w:numPr>
        <w:spacing w:before="20" w:after="20" w:line="240" w:lineRule="auto"/>
        <w:ind w:left="0"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الإخبار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بتصريح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المشركين أن عبادتهم لما اتخذوه من دون الله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أولياء إنما هو لطلب القربى والزلفى عند الله تعالى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وأنهم شفعاء لهم عند الله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وأنهم وسائط لهم في قضاء حوائج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تعالى: 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وَالَّذِينَ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اتَّخَذُوا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مِنْ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دُونِهِ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أَوْلِيَاءَ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نَعْبُدُهُمْ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إِلَّا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لِيُقَرِّبُونَا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إِلَى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اللَّهِ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زُلْفَى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}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07471E">
        <w:rPr>
          <w:rFonts w:ascii="Traditional Arabic" w:hAnsi="Traditional Arabic" w:cs="Traditional Arabic"/>
          <w:rtl/>
          <w:lang w:bidi="ar-EG"/>
        </w:rPr>
        <w:t>[</w:t>
      </w:r>
      <w:r w:rsidRPr="0007471E">
        <w:rPr>
          <w:rFonts w:ascii="Traditional Arabic" w:hAnsi="Traditional Arabic" w:cs="Traditional Arabic" w:hint="cs"/>
          <w:rtl/>
          <w:lang w:bidi="ar-EG"/>
        </w:rPr>
        <w:t>الزمر</w:t>
      </w:r>
      <w:r w:rsidRPr="0007471E">
        <w:rPr>
          <w:rFonts w:ascii="Traditional Arabic" w:hAnsi="Traditional Arabic" w:cs="Traditional Arabic"/>
          <w:rtl/>
          <w:lang w:bidi="ar-EG"/>
        </w:rPr>
        <w:t>: 3]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C73405" w:rsidRDefault="00C73405" w:rsidP="00E9775B">
      <w:pPr>
        <w:pStyle w:val="ListParagraph"/>
        <w:numPr>
          <w:ilvl w:val="1"/>
          <w:numId w:val="1"/>
        </w:numPr>
        <w:spacing w:before="20" w:after="20" w:line="240" w:lineRule="auto"/>
        <w:ind w:left="0"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إثبات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نوع إيمان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للمشركين مع شركهم، وهذا راجع إلى إيمان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بتفرد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بالخلق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والتدبير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وأنهم أشركوا بعبادة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غيره معه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تعالى</w:t>
      </w:r>
      <w:r w:rsidRPr="00E9775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: 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وَمَايُؤْمِنُ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أَكْثَرُهُمْ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بِاللَّهِ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إِلَّا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وَهُمْ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مُشْرِكُونَ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}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07471E">
        <w:rPr>
          <w:rFonts w:ascii="Traditional Arabic" w:hAnsi="Traditional Arabic" w:cs="Traditional Arabic"/>
          <w:rtl/>
          <w:lang w:bidi="ar-EG"/>
        </w:rPr>
        <w:t>[</w:t>
      </w:r>
      <w:r w:rsidRPr="0007471E">
        <w:rPr>
          <w:rFonts w:ascii="Traditional Arabic" w:hAnsi="Traditional Arabic" w:cs="Traditional Arabic" w:hint="cs"/>
          <w:rtl/>
          <w:lang w:bidi="ar-EG"/>
        </w:rPr>
        <w:t>يوسف</w:t>
      </w:r>
      <w:r w:rsidRPr="0007471E">
        <w:rPr>
          <w:rFonts w:ascii="Traditional Arabic" w:hAnsi="Traditional Arabic" w:cs="Traditional Arabic"/>
          <w:rtl/>
          <w:lang w:bidi="ar-EG"/>
        </w:rPr>
        <w:t>: 106]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وهذا الإيمان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هو اعترافهم بأن الله تعالى هو خالق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ورازق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ومدبر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ش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ئ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ونهم، والشرك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الذي وقعوا فيه هو عبادتهم غيره.</w:t>
      </w:r>
    </w:p>
    <w:p w:rsidR="00C73405" w:rsidRDefault="00C73405" w:rsidP="004E22D8">
      <w:pPr>
        <w:pStyle w:val="ListParagraph"/>
        <w:numPr>
          <w:ilvl w:val="1"/>
          <w:numId w:val="1"/>
        </w:numPr>
        <w:spacing w:before="20" w:after="20" w:line="240" w:lineRule="auto"/>
        <w:ind w:left="0"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الإيمان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المنسوب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لهم هو الإيمان اللغوي بمعنى التصديق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والإقرار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بذلك المعنى، وليس هو الإيمان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الشرعي الذي به تكون النجاة من الكفر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وعواقب</w:t>
      </w:r>
      <w:r w:rsid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ه.</w:t>
      </w:r>
    </w:p>
    <w:p w:rsidR="0007471E" w:rsidRDefault="0007471E" w:rsidP="0007471E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07471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 ما ذكروه مخالف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لدلالة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اللغة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حيث جعلوا معنى (الرب) هو معنى (الإله)، مع أنهما معنيان متغايران في اللغة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فـ (الإله) عند أهل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التفسير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واللغة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أنه المعبود، وقد أطلق على ما كان يعبده المشركون آلهة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باعتبار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أنها 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 مع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لا أنها مستحقة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لذلك أو أنها خالقة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ومدبرة، أما 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lastRenderedPageBreak/>
        <w:t>(الرب) فبمعنى مالك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الشيء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وصاحبه، ولا 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 هكذا بالتعريف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دون الإضافة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إلا على الله </w:t>
      </w:r>
      <w:r>
        <w:rPr>
          <w:rFonts w:ascii="Traditional Arabic" w:hAnsi="Traditional Arabic" w:cs="Traditional Arabic" w:hint="cs"/>
          <w:sz w:val="32"/>
          <w:szCs w:val="32"/>
          <w:lang w:bidi="ar-EG"/>
        </w:rPr>
        <w:sym w:font="AGA Arabesque" w:char="F055"/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لأنه خالق كل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شيء ومالكه، أما ملكية غيره لشيء من المخلوقات فربوبيته نسبية بذلك التمل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C73405" w:rsidRPr="0007471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ك.</w:t>
      </w:r>
    </w:p>
    <w:p w:rsidR="00F0572E" w:rsidRDefault="0007471E" w:rsidP="00F0572E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07471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ثالثًا: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 ما ذكروه في ذلك وقي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دوه باعتقاد الربوبية في المعبود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يقتضي أن يكون قوم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موسى لم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اتخذوا العجل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وقالوا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هذا إلهكم وإله موسى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أنهم يعتقدون أن هذا العجل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خالق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ًا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رازق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ًا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مستقل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ًّا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بالتدبير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ِ.</w:t>
      </w:r>
    </w:p>
    <w:p w:rsidR="00F0572E" w:rsidRDefault="005D6B0C" w:rsidP="00F0572E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وكذلك لما طلبوا إلهًا كما قص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 تعالى عنهم بقوله: 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وَجَاوَزْنَ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ابِبَنِي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إِسْرَائِيلَ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الْبَحْرَ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فَأَتَوْا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عَلَى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قَوْمٍ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يَعْكُفُونَ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عَلَى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أَصْنَامٍ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لَهُمْ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قَالُوا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مُوسَى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اجْعَلْ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لَنَا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إِلَهًا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كَمَا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لَهُمْ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آلِهَةٌ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قَالَ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إِنَّكُمْ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قَوْمٌ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تَجْهَلُونَ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}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0572E">
        <w:rPr>
          <w:rFonts w:ascii="Traditional Arabic" w:hAnsi="Traditional Arabic" w:cs="Traditional Arabic"/>
          <w:rtl/>
          <w:lang w:bidi="ar-EG"/>
        </w:rPr>
        <w:t>[</w:t>
      </w:r>
      <w:r w:rsidRPr="00F0572E">
        <w:rPr>
          <w:rFonts w:ascii="Traditional Arabic" w:hAnsi="Traditional Arabic" w:cs="Traditional Arabic" w:hint="cs"/>
          <w:rtl/>
          <w:lang w:bidi="ar-EG"/>
        </w:rPr>
        <w:t>الأعراف</w:t>
      </w:r>
      <w:r w:rsidRPr="00F0572E">
        <w:rPr>
          <w:rFonts w:ascii="Traditional Arabic" w:hAnsi="Traditional Arabic" w:cs="Traditional Arabic"/>
          <w:rtl/>
          <w:lang w:bidi="ar-EG"/>
        </w:rPr>
        <w:t>: 138]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أنهم يريدون من يعتقدون فيه الخلق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والتدبير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غير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تعالى، هذا لازم لقيدهم الذي ذكروه، وهو باطل، وقد حاج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الله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بما يعلمونه يقينًا من حال العجل</w:t>
      </w:r>
      <w:r w:rsidR="00F057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فقال تعالى: 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أَفَلَا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يَرَوْنَ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أَلَّا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يَرْجِعُ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إِلَيْهِمْ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قَوْلًا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وَلَا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يَمْلِكُ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لَهُمْ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ضَرًّا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وَلَا</w:t>
      </w:r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E9775B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>نَفْعًا</w:t>
      </w:r>
      <w:r w:rsidRPr="00E9775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}</w:t>
      </w:r>
      <w:bookmarkStart w:id="0" w:name="_GoBack"/>
      <w:bookmarkEnd w:id="0"/>
      <w:r w:rsidR="007047D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0572E">
        <w:rPr>
          <w:rFonts w:ascii="Traditional Arabic" w:hAnsi="Traditional Arabic" w:cs="Traditional Arabic"/>
          <w:rtl/>
          <w:lang w:bidi="ar-EG"/>
        </w:rPr>
        <w:t>[</w:t>
      </w:r>
      <w:r w:rsidRPr="00F0572E">
        <w:rPr>
          <w:rFonts w:ascii="Traditional Arabic" w:hAnsi="Traditional Arabic" w:cs="Traditional Arabic" w:hint="cs"/>
          <w:rtl/>
          <w:lang w:bidi="ar-EG"/>
        </w:rPr>
        <w:t>طه</w:t>
      </w:r>
      <w:r w:rsidRPr="00F0572E">
        <w:rPr>
          <w:rFonts w:ascii="Traditional Arabic" w:hAnsi="Traditional Arabic" w:cs="Traditional Arabic"/>
          <w:rtl/>
          <w:lang w:bidi="ar-EG"/>
        </w:rPr>
        <w:t>: 89]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F0572E" w:rsidRDefault="00F0572E" w:rsidP="00F0572E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0572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رابعًا: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 ذلك يقتضي أن لا يكون هناك أقوال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ولا أعمال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شركية بذاتها، ولا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 على أحد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بشرك إن اقترفه ما لم 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ظه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 ما في 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طنه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وأنه معتقد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استقلال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الخلق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والتدبير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فيمن يصرف إليه أقوال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وأعمال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التي هي من أعمال المشركين وأقوالهم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فدعاء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غير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 تعالى والسجود والركوع له والذبح والنذر له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هذا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ليس من الشرك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شيء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إلا إذا عرف ما يقوم في باطن صاحب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هذه الأعمال، فإن كان فاعل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ها معتقدًا ربوبية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دعاه أو سجد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له أو صرف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له شيئًا من تلك العبادات كان ذلك في حق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شركًا بربه، وإن خلا من ذلك فليس له من اسم الشرك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وحكم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نصيب.</w:t>
      </w:r>
    </w:p>
    <w:p w:rsidR="00F0572E" w:rsidRDefault="00F0572E" w:rsidP="00F0572E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0572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خامسًا: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 اعتقاد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الربوبية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غير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 تعالى هو شرك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نفسه، سواء صاح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قول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أو عمل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أم لا، فمن لم يقر 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بوحدانيته في ربوبيته فهو مشرك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ضال، حتى لو لم يصرف شيئًا من العبادات لغير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وعليه فحمل النصوص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الدالة على حصول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الشرك ببعض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الأقوال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والأفعال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ذلك الاعتقاد فيه تعطيل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لما تعل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 بتلك الأقوال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والأفعال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حكم، وصار ذكر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ها وعدم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سواء، إذا لا أثر لها في الحكم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فهو مقتصر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اعتقاد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الربوبية فيمن ص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D6B0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رفت له.</w:t>
      </w:r>
    </w:p>
    <w:p w:rsidR="005E4C7A" w:rsidRPr="00D47ADC" w:rsidRDefault="00F0572E" w:rsidP="00F0572E">
      <w:pPr>
        <w:spacing w:before="20" w:after="2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F0572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سادسًا: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 ما ذكروه في تعريف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العبادة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ومعنى شهادة أن لا إله إلا الله، أقروا به ما وقع فيه كثير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الناس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دعاء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الأموات والاستغاثة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بهم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وصرف أنواع العبادة لهم بحجة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أنهم لم يفعلوا ذلك إلا توسلًا وتشفعًا عند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دون أن يكون في بواطنهم اعتقاد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التدبير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والتصرف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الكون في هؤلاء الأموات وغيرهم، ومن تأمل كتب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الصوفية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وأمثال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يجد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صراحة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هذا الأمر تنطق 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lastRenderedPageBreak/>
        <w:t>به ألسنت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وتحكيه أحوال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هم، حتى جعلوا للأولياء مراتب يقتسمون فيها التأثير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والتصرف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هذا الكون كل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ٌّ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بحسب مرتبته</w:t>
      </w:r>
      <w:r w:rsidRPr="00F0572E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073BB6" w:rsidRPr="00F0572E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F0572E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073B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sectPr w:rsidR="005E4C7A" w:rsidRPr="00D47ADC" w:rsidSect="002078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E5" w:rsidRDefault="00667BE5" w:rsidP="00073BB6">
      <w:pPr>
        <w:spacing w:after="0" w:line="240" w:lineRule="auto"/>
      </w:pPr>
      <w:r>
        <w:separator/>
      </w:r>
    </w:p>
  </w:endnote>
  <w:endnote w:type="continuationSeparator" w:id="1">
    <w:p w:rsidR="00667BE5" w:rsidRDefault="00667BE5" w:rsidP="0007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E5" w:rsidRDefault="00667BE5" w:rsidP="00073BB6">
      <w:pPr>
        <w:spacing w:after="0" w:line="240" w:lineRule="auto"/>
      </w:pPr>
      <w:r>
        <w:separator/>
      </w:r>
    </w:p>
  </w:footnote>
  <w:footnote w:type="continuationSeparator" w:id="1">
    <w:p w:rsidR="00667BE5" w:rsidRDefault="00667BE5" w:rsidP="00073BB6">
      <w:pPr>
        <w:spacing w:after="0" w:line="240" w:lineRule="auto"/>
      </w:pPr>
      <w:r>
        <w:continuationSeparator/>
      </w:r>
    </w:p>
  </w:footnote>
  <w:footnote w:id="2">
    <w:p w:rsidR="00073BB6" w:rsidRPr="00F0572E" w:rsidRDefault="00F0572E" w:rsidP="00F0572E">
      <w:pPr>
        <w:pStyle w:val="FootnoteText"/>
        <w:rPr>
          <w:rFonts w:cs="Traditional Arabic"/>
          <w:sz w:val="24"/>
          <w:szCs w:val="24"/>
          <w:rtl/>
          <w:lang w:bidi="ar-EG"/>
        </w:rPr>
      </w:pPr>
      <w:r w:rsidRPr="00F0572E">
        <w:rPr>
          <w:rFonts w:cs="Traditional Arabic" w:hint="cs"/>
          <w:sz w:val="24"/>
          <w:szCs w:val="24"/>
          <w:rtl/>
        </w:rPr>
        <w:t>(</w:t>
      </w:r>
      <w:r w:rsidRPr="00F0572E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 w:rsidRPr="00F0572E">
        <w:rPr>
          <w:rFonts w:cs="Traditional Arabic" w:hint="cs"/>
          <w:sz w:val="24"/>
          <w:szCs w:val="24"/>
          <w:rtl/>
        </w:rPr>
        <w:t>)</w:t>
      </w:r>
      <w:r>
        <w:rPr>
          <w:rFonts w:cs="Traditional Arabic" w:hint="cs"/>
          <w:sz w:val="24"/>
          <w:szCs w:val="24"/>
          <w:rtl/>
        </w:rPr>
        <w:t xml:space="preserve">انظر: </w:t>
      </w:r>
      <w:r w:rsidR="00073BB6" w:rsidRPr="00F0572E">
        <w:rPr>
          <w:rFonts w:cs="Traditional Arabic" w:hint="cs"/>
          <w:sz w:val="24"/>
          <w:szCs w:val="24"/>
          <w:rtl/>
          <w:lang w:bidi="ar-EG"/>
        </w:rPr>
        <w:t>الصراع بين الإسلام والوثنية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073BB6" w:rsidRPr="00F0572E">
        <w:rPr>
          <w:rFonts w:cs="Traditional Arabic" w:hint="cs"/>
          <w:sz w:val="24"/>
          <w:szCs w:val="24"/>
          <w:rtl/>
          <w:lang w:bidi="ar-EG"/>
        </w:rPr>
        <w:t xml:space="preserve"> عبد الله القصيمي، 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073BB6" w:rsidRPr="00F0572E">
        <w:rPr>
          <w:rFonts w:cs="Traditional Arabic" w:hint="cs"/>
          <w:sz w:val="24"/>
          <w:szCs w:val="24"/>
          <w:rtl/>
          <w:lang w:bidi="ar-EG"/>
        </w:rPr>
        <w:t>2/212-274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073BB6" w:rsidRPr="00F0572E">
        <w:rPr>
          <w:rFonts w:cs="Traditional Arabic" w:hint="cs"/>
          <w:sz w:val="24"/>
          <w:szCs w:val="24"/>
          <w:rtl/>
          <w:lang w:bidi="ar-EG"/>
        </w:rPr>
        <w:t>، مظاهر الانحراف العقدية عند الصوفية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073BB6" w:rsidRPr="00F0572E">
        <w:rPr>
          <w:rFonts w:cs="Traditional Arabic" w:hint="cs"/>
          <w:sz w:val="24"/>
          <w:szCs w:val="24"/>
          <w:rtl/>
          <w:lang w:bidi="ar-EG"/>
        </w:rPr>
        <w:t xml:space="preserve"> إدريس محمود إدريس، 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073BB6" w:rsidRPr="00F0572E">
        <w:rPr>
          <w:rFonts w:cs="Traditional Arabic" w:hint="cs"/>
          <w:sz w:val="24"/>
          <w:szCs w:val="24"/>
          <w:rtl/>
          <w:lang w:bidi="ar-EG"/>
        </w:rPr>
        <w:t>2/629-658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073BB6" w:rsidRPr="00F0572E">
        <w:rPr>
          <w:rFonts w:cs="Traditional Arabic" w:hint="cs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105A"/>
    <w:multiLevelType w:val="hybridMultilevel"/>
    <w:tmpl w:val="94B0C99A"/>
    <w:lvl w:ilvl="0" w:tplc="EACC3E9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ADC"/>
    <w:rsid w:val="00073BB6"/>
    <w:rsid w:val="0007471E"/>
    <w:rsid w:val="002078CA"/>
    <w:rsid w:val="00444809"/>
    <w:rsid w:val="00486374"/>
    <w:rsid w:val="004E22D8"/>
    <w:rsid w:val="00561396"/>
    <w:rsid w:val="005D6B0C"/>
    <w:rsid w:val="005E4C7A"/>
    <w:rsid w:val="00667BE5"/>
    <w:rsid w:val="007047D4"/>
    <w:rsid w:val="00753529"/>
    <w:rsid w:val="00941934"/>
    <w:rsid w:val="00A36EF2"/>
    <w:rsid w:val="00B026E1"/>
    <w:rsid w:val="00B64B97"/>
    <w:rsid w:val="00B961DC"/>
    <w:rsid w:val="00C73405"/>
    <w:rsid w:val="00CC4AFA"/>
    <w:rsid w:val="00D47ADC"/>
    <w:rsid w:val="00D65DAC"/>
    <w:rsid w:val="00DE6110"/>
    <w:rsid w:val="00E9775B"/>
    <w:rsid w:val="00ED4A51"/>
    <w:rsid w:val="00F0572E"/>
    <w:rsid w:val="00F32C4E"/>
    <w:rsid w:val="00F6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3B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B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A855-6926-4425-A57F-AF32900D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connect</cp:lastModifiedBy>
  <cp:revision>11</cp:revision>
  <dcterms:created xsi:type="dcterms:W3CDTF">2016-03-02T10:11:00Z</dcterms:created>
  <dcterms:modified xsi:type="dcterms:W3CDTF">2016-03-13T08:25:00Z</dcterms:modified>
</cp:coreProperties>
</file>