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4C" w:rsidRPr="00DC252C" w:rsidRDefault="00C87C4C" w:rsidP="00DC252C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DC252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هل التفريق بين نوعي التوحيد يلزم أن للكفار توحيدًا صحيحًا ينجيهم؟</w:t>
      </w:r>
    </w:p>
    <w:p w:rsidR="00573180" w:rsidRPr="00DC252C" w:rsidRDefault="00493D17" w:rsidP="00DC252C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شبهة</w:t>
      </w:r>
      <w:r w:rsidR="00EA1BE3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الت</w:t>
      </w:r>
      <w:bookmarkStart w:id="0" w:name="_GoBack"/>
      <w:bookmarkEnd w:id="0"/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فريق</w:t>
      </w:r>
      <w:r w:rsidR="00EA1BE3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بين النوعين</w:t>
      </w:r>
      <w:r w:rsidR="00617D85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والقول</w:t>
      </w:r>
      <w:r w:rsidR="00617D85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بأن كفار قريش مقرون بنوع</w:t>
      </w:r>
      <w:r w:rsidR="00617D85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منهما</w:t>
      </w:r>
      <w:r w:rsidR="00617D85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يقتضي القول</w:t>
      </w:r>
      <w:r w:rsidR="00617D85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بأن للكفار توحيدًا صحيحًا ينجيهم من النار، وهذا مصادمة للنصوص</w:t>
      </w:r>
      <w:r w:rsidR="00617D85" w:rsidRPr="00DC252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DC252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617D85" w:rsidRPr="00DC252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617D85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493D17" w:rsidRPr="00DC252C" w:rsidRDefault="00493D17" w:rsidP="00DC252C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DC252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7242E4" w:rsidRPr="00DC252C" w:rsidRDefault="007242E4" w:rsidP="00DC252C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C252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لم يقل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أحد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أهل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نة إن كفار قريش كانوا موح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دين، هكذا بهذا الإطلاق، وإنما كلامهم في أنهم 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أي كفار قريش 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كان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وا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مقر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ين بتوحيد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الربوبية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وهو من الح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ج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ة عليهم، وهم مع ذلك مشركون اسمًا وحكمًا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إذ لا ينج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يهم ذلك الإقرار دون أن يوح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دوا الله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في ألوهيته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7242E4" w:rsidRPr="00DC252C" w:rsidRDefault="007728E4" w:rsidP="00DC252C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 شيخ الإسلام ابن تيمية 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9300FD" w:rsidRPr="00DC252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فهذا التوحيد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ُ-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أي توحيد الإلهية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هو الفارق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بين الموحدين والمشركين، وعليه يقع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الجزاء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والثواب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الأولى والآخرة، فمن لم يأت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 كان من المشركين الخالدين، فإن الله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يغفر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ي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ش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 وي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غ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ف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دون ذلك لمن يشاء، أما توحيد الربوبية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فقد أقر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 المشركون، وكانوا يعبدون مع الله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غير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ه، ويحبونه كما يحبونه، فكان ذلك التوحيد 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الذي هو توحيد الربوبية 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حجة</w:t>
      </w:r>
      <w:r w:rsidR="007242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عليهم</w:t>
      </w:r>
      <w:r w:rsidR="009300FD" w:rsidRPr="00DC252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9300FD" w:rsidRPr="00DC252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="007242E4" w:rsidRPr="00DC252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DC252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7242E4" w:rsidRPr="00DC252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7242E4" w:rsidRPr="00DC252C" w:rsidRDefault="007242E4" w:rsidP="00DC252C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C252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="00DC252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 الإمام ابن القيم: </w:t>
      </w:r>
      <w:r w:rsidR="009300FD" w:rsidRPr="00DC252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لذلك كان توحيد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الألوهية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هو المنج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ي من الشرك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دون توحيد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الربوبية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بمجرده، فإن ع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اد الأصنام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كانوا مقر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ين بأن الله وحده خال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كل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شيء وربه ومليكه، ولكن لم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ا لم يأتوا بتوحيد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الألوهية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وهو عبادت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ه وحده لا شريك له لم ينفع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هم توحيد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ربوبيته</w:t>
      </w:r>
      <w:r w:rsidR="009300FD" w:rsidRPr="00DC252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9300FD" w:rsidRPr="00DC252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Pr="00DC252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7728E4" w:rsidRPr="00DC252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DC252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7242E4" w:rsidRPr="00DC252C" w:rsidRDefault="007242E4" w:rsidP="00DC252C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C252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="00DC252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إثبات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نوع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التوحيد لهم لا يعني إثبات التوحيد المطلوب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شرعًا، كما أن إثبات إيمان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لهم لا يعني إثبات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الإيمان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الشرعي المطلوب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تحقيقه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كما في قوله تعالى: </w:t>
      </w:r>
      <w:r w:rsidR="007728E4" w:rsidRPr="00DC252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{وَمَايُؤْمِنُ</w:t>
      </w:r>
      <w:r w:rsidR="009300FD" w:rsidRPr="00DC252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728E4" w:rsidRPr="00DC252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أَكْثَرُهُمْ</w:t>
      </w:r>
      <w:r w:rsidR="009300FD" w:rsidRPr="00DC252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728E4" w:rsidRPr="00DC252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بِاللَّهِ</w:t>
      </w:r>
      <w:r w:rsidR="009300FD" w:rsidRPr="00DC252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728E4" w:rsidRPr="00DC252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إِلَّا</w:t>
      </w:r>
      <w:r w:rsidR="009300FD" w:rsidRPr="00DC252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728E4" w:rsidRPr="00DC252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وَهُمْ</w:t>
      </w:r>
      <w:r w:rsidR="009300FD" w:rsidRPr="00DC252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728E4" w:rsidRPr="00DC252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مُشْرِكُونَ}</w:t>
      </w:r>
      <w:r w:rsidR="009300FD" w:rsidRPr="00DC252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[يوسف: 106]، فهذا نوع من الإيمان 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وهو الإيمان اللغوي</w:t>
      </w:r>
      <w:r w:rsidRPr="00DC252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7728E4" w:rsidRPr="00DC252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4"/>
      </w:r>
      <w:r w:rsidRPr="00DC252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لكنهم لا ي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ُقال أ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نهم مؤمنون، فما ي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قال في الإيمان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هنا ي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قال في لفظ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التوحيد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7728E4" w:rsidRPr="00DC252C" w:rsidRDefault="007242E4" w:rsidP="00DC252C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DC252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رابعًا:</w:t>
      </w:r>
      <w:r w:rsidR="00DC252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الكافر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قد تكون عنده تصورات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صحيحة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، و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صدر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منه أعمال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صالحة إلا أنها لا ت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ل منه ولا تن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ج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يه من عذاب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الآخرة، لأنها لم تقم على أصل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صحيح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وهو تحقيق التوحيد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لله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بجميع أنواعه، 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lastRenderedPageBreak/>
        <w:t>فالك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ا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فر قد يكون متلبسًا بعمل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صالح ي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وصف به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إلا أنه لا ي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ل منه عند الله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تعالى، لأنه قام على أساس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باطل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وهو الشرك، فقد ينتفع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 ولكن ذلك في الدنيا</w:t>
      </w:r>
      <w:r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كما قال النبي </w:t>
      </w:r>
      <w:r w:rsidR="007728E4" w:rsidRPr="00DC252C">
        <w:rPr>
          <w:rFonts w:ascii="Traditional Arabic" w:hAnsi="Traditional Arabic" w:cs="Traditional Arabic"/>
          <w:sz w:val="32"/>
          <w:szCs w:val="32"/>
          <w:lang w:bidi="ar-EG"/>
        </w:rPr>
        <w:sym w:font="AGA Arabesque" w:char="F072"/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9300FD" w:rsidRPr="00DC252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7728E4"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إن الله لا يظ</w:t>
      </w:r>
      <w:r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ْ</w:t>
      </w:r>
      <w:r w:rsidR="007728E4"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لم</w:t>
      </w:r>
      <w:r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مؤمنًا حسنة</w:t>
      </w:r>
      <w:r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ً</w:t>
      </w:r>
      <w:r w:rsidR="007728E4"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يعطي بها في الدنيا، ويجزي بها في الآخرة</w:t>
      </w:r>
      <w:r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، وأما الكافر</w:t>
      </w:r>
      <w:r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في</w:t>
      </w:r>
      <w:r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طعم</w:t>
      </w:r>
      <w:r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ُ</w:t>
      </w:r>
      <w:r w:rsidR="007728E4"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بحسنات</w:t>
      </w:r>
      <w:r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ٍ</w:t>
      </w:r>
      <w:r w:rsidR="007728E4"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ما عمل</w:t>
      </w:r>
      <w:r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َ</w:t>
      </w:r>
      <w:r w:rsidR="007728E4"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بها لله</w:t>
      </w:r>
      <w:r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في الدنيا، حتى إذا أفضى إلى الآخرة</w:t>
      </w:r>
      <w:r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7728E4"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لم تكن</w:t>
      </w:r>
      <w:r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ْ</w:t>
      </w:r>
      <w:r w:rsidR="007728E4" w:rsidRPr="00DC252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له حسنة يجزي بها</w:t>
      </w:r>
      <w:r w:rsidR="009300FD" w:rsidRPr="00DC252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9300FD" w:rsidRPr="00DC252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Pr="00DC252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7728E4" w:rsidRPr="00DC252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5"/>
      </w:r>
      <w:r w:rsidRPr="00DC252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7728E4" w:rsidRPr="00DC252C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sectPr w:rsidR="007728E4" w:rsidRPr="00DC252C" w:rsidSect="00DC252C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55" w:rsidRDefault="00845B55" w:rsidP="00493D17">
      <w:pPr>
        <w:spacing w:after="0" w:line="240" w:lineRule="auto"/>
      </w:pPr>
      <w:r>
        <w:separator/>
      </w:r>
    </w:p>
  </w:endnote>
  <w:endnote w:type="continuationSeparator" w:id="0">
    <w:p w:rsidR="00845B55" w:rsidRDefault="00845B55" w:rsidP="0049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55" w:rsidRDefault="00845B55" w:rsidP="00493D17">
      <w:pPr>
        <w:spacing w:after="0" w:line="240" w:lineRule="auto"/>
      </w:pPr>
      <w:r>
        <w:separator/>
      </w:r>
    </w:p>
  </w:footnote>
  <w:footnote w:type="continuationSeparator" w:id="0">
    <w:p w:rsidR="00845B55" w:rsidRDefault="00845B55" w:rsidP="00493D17">
      <w:pPr>
        <w:spacing w:after="0" w:line="240" w:lineRule="auto"/>
      </w:pPr>
      <w:r>
        <w:continuationSeparator/>
      </w:r>
    </w:p>
  </w:footnote>
  <w:footnote w:id="1">
    <w:p w:rsidR="00493D17" w:rsidRPr="00DC252C" w:rsidRDefault="00F87DC4" w:rsidP="00F87DC4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493D17" w:rsidRPr="00DC252C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493D17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الدرر السنية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في الرد على الوهابية،أحمد الزيني </w:t>
      </w:r>
      <w:r w:rsidR="00493D17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دحلان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،</w:t>
      </w:r>
      <w:r w:rsidR="00493D17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ص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493D17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40-41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493D17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، 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وانظر: </w:t>
      </w:r>
      <w:r w:rsidR="00493D17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مقال الدجوي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،</w:t>
      </w:r>
      <w:r w:rsidR="00493D17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توحيد الألوهية وتوحيد الربوبية، مجلة نور الإسلام، المجلد الرابع، ص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493D17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259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493D17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، 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و</w:t>
      </w:r>
      <w:r w:rsidR="00493D17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مصباح الأنام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،</w:t>
      </w:r>
      <w:r w:rsidR="00493D17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علوي الحداد، ص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493D17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17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493D17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2">
    <w:p w:rsidR="007728E4" w:rsidRPr="00DC252C" w:rsidRDefault="00F87DC4" w:rsidP="00F87DC4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DC252C">
        <w:rPr>
          <w:rFonts w:ascii="Traditional Arabic" w:hAnsi="Traditional Arabic" w:cs="Traditional Arabic"/>
          <w:sz w:val="28"/>
          <w:szCs w:val="28"/>
          <w:rtl/>
        </w:rPr>
        <w:t>(</w:t>
      </w:r>
      <w:r w:rsidR="007728E4" w:rsidRPr="00DC252C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DC252C">
        <w:rPr>
          <w:rFonts w:ascii="Traditional Arabic" w:hAnsi="Traditional Arabic" w:cs="Traditional Arabic"/>
          <w:sz w:val="28"/>
          <w:szCs w:val="28"/>
          <w:rtl/>
        </w:rPr>
        <w:t>)</w:t>
      </w:r>
      <w:r w:rsidR="007728E4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مجموع فتاوى شيخ الإسلام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ابن تيمية</w:t>
      </w:r>
      <w:r w:rsidR="007728E4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، 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7728E4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14/380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7728E4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3">
    <w:p w:rsidR="007728E4" w:rsidRPr="00DC252C" w:rsidRDefault="00F87DC4" w:rsidP="005A3620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DC252C">
        <w:rPr>
          <w:rFonts w:ascii="Traditional Arabic" w:hAnsi="Traditional Arabic" w:cs="Traditional Arabic"/>
          <w:sz w:val="28"/>
          <w:szCs w:val="28"/>
          <w:rtl/>
        </w:rPr>
        <w:t>(</w:t>
      </w:r>
      <w:r w:rsidR="007728E4" w:rsidRPr="00DC252C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DC252C">
        <w:rPr>
          <w:rFonts w:ascii="Traditional Arabic" w:hAnsi="Traditional Arabic" w:cs="Traditional Arabic"/>
          <w:sz w:val="28"/>
          <w:szCs w:val="28"/>
          <w:rtl/>
        </w:rPr>
        <w:t>)</w:t>
      </w:r>
      <w:r w:rsidR="007728E4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عدة الصابرين،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ابن القيم،</w:t>
      </w:r>
      <w:r w:rsidR="007728E4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ص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7728E4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350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7728E4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4">
    <w:p w:rsidR="007728E4" w:rsidRPr="00DC252C" w:rsidRDefault="00F87DC4" w:rsidP="00F87DC4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DC252C">
        <w:rPr>
          <w:rFonts w:ascii="Traditional Arabic" w:hAnsi="Traditional Arabic" w:cs="Traditional Arabic"/>
          <w:sz w:val="28"/>
          <w:szCs w:val="28"/>
          <w:rtl/>
        </w:rPr>
        <w:t>(</w:t>
      </w:r>
      <w:r w:rsidR="007728E4" w:rsidRPr="00DC252C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DC252C">
        <w:rPr>
          <w:rFonts w:ascii="Traditional Arabic" w:hAnsi="Traditional Arabic" w:cs="Traditional Arabic"/>
          <w:sz w:val="28"/>
          <w:szCs w:val="28"/>
          <w:rtl/>
        </w:rPr>
        <w:t>)</w:t>
      </w:r>
      <w:r w:rsidR="007728E4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أضواء البيان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،ا</w:t>
      </w:r>
      <w:r w:rsidR="007728E4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لشنقيطي، 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7728E4"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3/75</w:t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).</w:t>
      </w:r>
    </w:p>
  </w:footnote>
  <w:footnote w:id="5">
    <w:p w:rsidR="007728E4" w:rsidRPr="00DC252C" w:rsidRDefault="007728E4" w:rsidP="005A3620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DC252C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DC252C">
        <w:rPr>
          <w:rFonts w:ascii="Traditional Arabic" w:hAnsi="Traditional Arabic" w:cs="Traditional Arabic"/>
          <w:sz w:val="28"/>
          <w:szCs w:val="28"/>
          <w:rtl/>
          <w:lang w:bidi="ar-EG"/>
        </w:rPr>
        <w:t>رواه مسلم في صفة القيامة والجنة والنار – باب جزاء المؤمن بحسناته في الدنيا والآخرة – رقم 2808، وأحمد، ص3/283.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9595E"/>
    <w:multiLevelType w:val="hybridMultilevel"/>
    <w:tmpl w:val="CB0ADD7C"/>
    <w:lvl w:ilvl="0" w:tplc="5ADC22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D17"/>
    <w:rsid w:val="000832D9"/>
    <w:rsid w:val="002078CA"/>
    <w:rsid w:val="00493D17"/>
    <w:rsid w:val="00573180"/>
    <w:rsid w:val="005A3620"/>
    <w:rsid w:val="00617D85"/>
    <w:rsid w:val="006B2B2C"/>
    <w:rsid w:val="007242E4"/>
    <w:rsid w:val="007728E4"/>
    <w:rsid w:val="00810AD3"/>
    <w:rsid w:val="00845B55"/>
    <w:rsid w:val="009300FD"/>
    <w:rsid w:val="00945B3D"/>
    <w:rsid w:val="00AA006D"/>
    <w:rsid w:val="00C22A8C"/>
    <w:rsid w:val="00C87C4C"/>
    <w:rsid w:val="00CA5CB7"/>
    <w:rsid w:val="00DC252C"/>
    <w:rsid w:val="00E72C25"/>
    <w:rsid w:val="00EA1BE3"/>
    <w:rsid w:val="00F84D8A"/>
    <w:rsid w:val="00F8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2D9E74-6DC7-4E96-AA28-89255450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3D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D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3D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72E2-BB6A-43ED-8BD0-C735DD3D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Amien</cp:lastModifiedBy>
  <cp:revision>11</cp:revision>
  <dcterms:created xsi:type="dcterms:W3CDTF">2016-03-02T12:38:00Z</dcterms:created>
  <dcterms:modified xsi:type="dcterms:W3CDTF">2016-05-17T11:16:00Z</dcterms:modified>
</cp:coreProperties>
</file>