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EC" w:rsidRPr="00BE6DDC" w:rsidRDefault="00A002EC" w:rsidP="00BE6DDC">
      <w:pPr>
        <w:tabs>
          <w:tab w:val="left" w:pos="7357"/>
        </w:tabs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BE6DDC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احتجاجهم بأن التفريق بين توحيد الربوبية والإلهية لم يرِد في الكتاب والسُنة</w:t>
      </w:r>
    </w:p>
    <w:p w:rsidR="00573180" w:rsidRPr="00BE6DDC" w:rsidRDefault="00C472C6" w:rsidP="00BE6DDC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شبهة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قول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هم: إن التفريق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بين توحيد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الربوبية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وتوحيد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الألوهية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وما انبنى عليه من تقسيم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التوحيد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هذين المعنيين بدعة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ً،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 تر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د في كتاب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 تعالى ولا س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نة نبيه </w:t>
      </w:r>
      <w:r w:rsid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، وما سم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 أن النبي </w:t>
      </w:r>
      <w:r w:rsid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كان إذا قدمت عليه أجلاف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العرب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لي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س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موا على يديه ي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ف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ص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لهم أن التوحيد على قسمين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ربوبية وألوهية، وأن</w:t>
      </w:r>
      <w:bookmarkStart w:id="0" w:name="_GoBack"/>
      <w:bookmarkEnd w:id="0"/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توحيد الربوبية لا يكفي ولا ي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ي مفردًا عن الألوهية</w:t>
      </w:r>
      <w:r w:rsidR="00A002EC" w:rsidRPr="00BE6DD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BE6DD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A002EC" w:rsidRPr="00BE6DD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A002EC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C472C6" w:rsidRPr="00BE6DDC" w:rsidRDefault="00C472C6" w:rsidP="00BE6DDC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BE6DD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A002EC" w:rsidRPr="00BE6DDC" w:rsidRDefault="00A002EC" w:rsidP="00BE6DDC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E6DD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A42E3B" w:rsidRPr="00BE6DD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عدم التسليم بعدم ورود هذا التفريق في الكتاب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والس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نة، بل هو معنى ظاهر في نصوص الكتاب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والس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نة، ولعل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أظهر ما يكون من ذلك قوله تعالى: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{وَمَا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يُؤْمِنُ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أَكْثَرُهُمْ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بِاللَّهِ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إِلَّا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وَهُمْ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مُشْرِكُونَ}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[يوسف: 106]، وهذان أمران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متقابلان، ولا يشك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المرء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بالفرق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بين المتقابلات.</w:t>
      </w:r>
    </w:p>
    <w:p w:rsidR="00A002EC" w:rsidRPr="00BE6DDC" w:rsidRDefault="00A002EC" w:rsidP="00BE6DDC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E6DD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A42E3B" w:rsidRPr="00BE6DD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الشيخ محمد بن عثيمين 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A42E3B" w:rsidRPr="00BE6DD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وقد يقول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البعض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إن هذا التقسيم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للتوحيد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بدعة، ولكن نقول: بتتبع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النصوص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الواردة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التوحيد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وجدناها لا ت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خ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ر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هذه الأقسام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الثلاثة، والاستدلال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المبني على التتبع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والاستقراء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ثابت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حتى في القرآن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ِ؛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كما في قوله تعالى: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{أَفَرَأَيْتَ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الَّذِي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كَفَرَ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بِآيَاتِنَا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وَقَالَ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لَأُوتَيَنَّ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مَالًا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وَوَلَدًا (77) أَطَّلَعَ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الْغَيْبَ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أَمِ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اتَّخَذَ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عِنْدَ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الرَّحْمَنِ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عَهْدًا}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[مريم: 77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78]، والجواب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: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هذا ولا هذا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ولهذا قال: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{كَلَّا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سَنَكْتُبُ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مَا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يَقُولُ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وَنَمُدُّ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لَهُ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مِنَ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الْعَذَابِ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مَدًّا}</w:t>
      </w:r>
      <w:r w:rsidR="00A42E3B" w:rsidRPr="00BE6DDC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[مريم: 79]</w:t>
      </w:r>
      <w:r w:rsidR="00A42E3B" w:rsidRPr="00BE6DDC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 xml:space="preserve"> «</w:t>
      </w:r>
      <w:r w:rsidR="00A42E3B" w:rsidRPr="00BE6DD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Pr="00BE6DD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C472C6" w:rsidRPr="00BE6DDC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BE6DDC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A002EC" w:rsidRPr="00BE6DDC" w:rsidRDefault="00A002EC" w:rsidP="00BE6DDC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E6DD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="00BE6DD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أن العرب الذين ب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ث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فيهم النبي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BE6DD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كانوا عارفين بمقاصد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اللغة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، والنبي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BE6DD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كان يدعوهم إلى تحقيق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(لا إله إلا الله)، فهم يدركون معنى هذه الكلمة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إذا أقر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وا بها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وهو أن يتركوا كل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كانوا يعبدونه مع الله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تعالى، وأن هذا لا ي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ني تحويل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اعتقاد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قلبي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ٍّ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فقط من اعتقاد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أنها لا تخلق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ولا ترزق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ثم إن لهم حرية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الإبقاء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طقوس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هم تجاهها، كلا بل إنهم يعرفون معنى هذه الكلمة.</w:t>
      </w:r>
    </w:p>
    <w:p w:rsidR="00C472C6" w:rsidRPr="00BE6DDC" w:rsidRDefault="00A002EC" w:rsidP="00BE6DDC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E6DD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رابعًا:</w:t>
      </w:r>
      <w:r w:rsidR="00BE6DDC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التفريق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بين النوعين في دعوة النبي </w:t>
      </w:r>
      <w:r w:rsid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واقع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ضمنًا، إذ لم يقبل منهم الإقرار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بوحدانية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في ربوبيته دون الألوهية، وقد أخبره الله تعالى أنه إن سألهم عن خالق السماوات والأرض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ومدبر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الأمر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ليقول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الله، وهذا هو المقصود بتوحيد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الربوبية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، فلم يكن يقبل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منهم </w:t>
      </w:r>
      <w:r w:rsid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إلا أن يجمعوا مع ذلك توحيد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الألوهية</w:t>
      </w:r>
      <w:r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C472C6" w:rsidRPr="00BE6DDC">
        <w:rPr>
          <w:rFonts w:ascii="Traditional Arabic" w:hAnsi="Traditional Arabic" w:cs="Traditional Arabic"/>
          <w:sz w:val="32"/>
          <w:szCs w:val="32"/>
          <w:rtl/>
          <w:lang w:bidi="ar-EG"/>
        </w:rPr>
        <w:t>، وهو معنى (لا إله إلا الله).</w:t>
      </w:r>
    </w:p>
    <w:p w:rsidR="00C472C6" w:rsidRPr="00BE6DDC" w:rsidRDefault="00C472C6" w:rsidP="00BE6DDC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C472C6" w:rsidRPr="00BE6DDC" w:rsidSect="00BD7C00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7C" w:rsidRDefault="00526B7C" w:rsidP="00C472C6">
      <w:pPr>
        <w:spacing w:after="0" w:line="240" w:lineRule="auto"/>
      </w:pPr>
      <w:r>
        <w:separator/>
      </w:r>
    </w:p>
  </w:endnote>
  <w:endnote w:type="continuationSeparator" w:id="0">
    <w:p w:rsidR="00526B7C" w:rsidRDefault="00526B7C" w:rsidP="00C4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7C" w:rsidRDefault="00526B7C" w:rsidP="00C472C6">
      <w:pPr>
        <w:spacing w:after="0" w:line="240" w:lineRule="auto"/>
      </w:pPr>
      <w:r>
        <w:separator/>
      </w:r>
    </w:p>
  </w:footnote>
  <w:footnote w:type="continuationSeparator" w:id="0">
    <w:p w:rsidR="00526B7C" w:rsidRDefault="00526B7C" w:rsidP="00C472C6">
      <w:pPr>
        <w:spacing w:after="0" w:line="240" w:lineRule="auto"/>
      </w:pPr>
      <w:r>
        <w:continuationSeparator/>
      </w:r>
    </w:p>
  </w:footnote>
  <w:footnote w:id="1">
    <w:p w:rsidR="00C472C6" w:rsidRPr="00A002EC" w:rsidRDefault="00A002EC" w:rsidP="00A002EC">
      <w:pPr>
        <w:pStyle w:val="FootnoteText"/>
        <w:jc w:val="both"/>
        <w:rPr>
          <w:rFonts w:cs="Traditional Arabic"/>
          <w:sz w:val="24"/>
          <w:szCs w:val="24"/>
          <w:rtl/>
          <w:lang w:bidi="ar-EG"/>
        </w:rPr>
      </w:pPr>
      <w:r>
        <w:rPr>
          <w:rFonts w:cs="Traditional Arabic" w:hint="cs"/>
          <w:sz w:val="24"/>
          <w:szCs w:val="24"/>
          <w:rtl/>
        </w:rPr>
        <w:t>(</w:t>
      </w:r>
      <w:r w:rsidR="00C472C6" w:rsidRPr="00A002EC">
        <w:rPr>
          <w:rStyle w:val="FootnoteReference"/>
          <w:rFonts w:cs="Traditional Arabic"/>
          <w:sz w:val="24"/>
          <w:szCs w:val="24"/>
          <w:vertAlign w:val="baseline"/>
        </w:rPr>
        <w:footnoteRef/>
      </w:r>
      <w:r>
        <w:rPr>
          <w:rFonts w:cs="Traditional Arabic" w:hint="cs"/>
          <w:sz w:val="24"/>
          <w:szCs w:val="24"/>
          <w:rtl/>
        </w:rPr>
        <w:t xml:space="preserve">)انظر: الدرر السنية في الرد على الوهابية، </w:t>
      </w:r>
      <w:r w:rsidR="00C472C6" w:rsidRPr="00A002EC">
        <w:rPr>
          <w:rFonts w:cs="Traditional Arabic" w:hint="cs"/>
          <w:sz w:val="24"/>
          <w:szCs w:val="24"/>
          <w:rtl/>
          <w:lang w:bidi="ar-EG"/>
        </w:rPr>
        <w:t>أحمد زيني دحلان، ص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C472C6" w:rsidRPr="00A002EC">
        <w:rPr>
          <w:rFonts w:cs="Traditional Arabic" w:hint="cs"/>
          <w:sz w:val="24"/>
          <w:szCs w:val="24"/>
          <w:rtl/>
          <w:lang w:bidi="ar-EG"/>
        </w:rPr>
        <w:t>181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C472C6" w:rsidRPr="00A002EC">
        <w:rPr>
          <w:rFonts w:cs="Traditional Arabic" w:hint="cs"/>
          <w:sz w:val="24"/>
          <w:szCs w:val="24"/>
          <w:rtl/>
          <w:lang w:bidi="ar-EG"/>
        </w:rPr>
        <w:t>، وانظر: مقال الدجوي</w:t>
      </w:r>
      <w:r>
        <w:rPr>
          <w:rFonts w:cs="Traditional Arabic" w:hint="cs"/>
          <w:sz w:val="24"/>
          <w:szCs w:val="24"/>
          <w:rtl/>
          <w:lang w:bidi="ar-EG"/>
        </w:rPr>
        <w:t>،</w:t>
      </w:r>
      <w:r w:rsidR="00C472C6" w:rsidRPr="00A002EC">
        <w:rPr>
          <w:rFonts w:cs="Traditional Arabic" w:hint="cs"/>
          <w:sz w:val="24"/>
          <w:szCs w:val="24"/>
          <w:rtl/>
          <w:lang w:bidi="ar-EG"/>
        </w:rPr>
        <w:t xml:space="preserve"> توحيد الألوهية وتوحيد الربوبية، مجلة نور الإسلام، المجلد الرابع، ص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C472C6" w:rsidRPr="00A002EC">
        <w:rPr>
          <w:rFonts w:cs="Traditional Arabic" w:hint="cs"/>
          <w:sz w:val="24"/>
          <w:szCs w:val="24"/>
          <w:rtl/>
          <w:lang w:bidi="ar-EG"/>
        </w:rPr>
        <w:t>255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C472C6" w:rsidRPr="00A002EC">
        <w:rPr>
          <w:rFonts w:cs="Traditional Arabic" w:hint="cs"/>
          <w:sz w:val="24"/>
          <w:szCs w:val="24"/>
          <w:rtl/>
          <w:lang w:bidi="ar-EG"/>
        </w:rPr>
        <w:t>.</w:t>
      </w:r>
    </w:p>
  </w:footnote>
  <w:footnote w:id="2">
    <w:p w:rsidR="00C472C6" w:rsidRPr="00A002EC" w:rsidRDefault="00A002EC" w:rsidP="00A002EC">
      <w:pPr>
        <w:pStyle w:val="FootnoteText"/>
        <w:jc w:val="both"/>
        <w:rPr>
          <w:rFonts w:cs="Traditional Arabic"/>
          <w:sz w:val="24"/>
          <w:szCs w:val="24"/>
          <w:rtl/>
          <w:lang w:bidi="ar-EG"/>
        </w:rPr>
      </w:pPr>
      <w:r>
        <w:rPr>
          <w:rFonts w:cs="Traditional Arabic" w:hint="cs"/>
          <w:sz w:val="24"/>
          <w:szCs w:val="24"/>
          <w:rtl/>
        </w:rPr>
        <w:t>(</w:t>
      </w:r>
      <w:r w:rsidR="00C472C6" w:rsidRPr="00A002EC">
        <w:rPr>
          <w:rStyle w:val="FootnoteReference"/>
          <w:rFonts w:cs="Traditional Arabic"/>
          <w:sz w:val="24"/>
          <w:szCs w:val="24"/>
          <w:vertAlign w:val="baseline"/>
        </w:rPr>
        <w:footnoteRef/>
      </w:r>
      <w:r>
        <w:rPr>
          <w:rFonts w:cs="Traditional Arabic" w:hint="cs"/>
          <w:sz w:val="24"/>
          <w:szCs w:val="24"/>
          <w:rtl/>
        </w:rPr>
        <w:t>)</w:t>
      </w:r>
      <w:r w:rsidR="00C472C6" w:rsidRPr="00A002EC">
        <w:rPr>
          <w:rFonts w:cs="Traditional Arabic" w:hint="cs"/>
          <w:sz w:val="24"/>
          <w:szCs w:val="24"/>
          <w:rtl/>
          <w:lang w:bidi="ar-EG"/>
        </w:rPr>
        <w:t xml:space="preserve">مجموع فتاوى ورسائل الشيخ محمد ابن عثيمين، جمع فهد السليمان، 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C472C6" w:rsidRPr="00A002EC">
        <w:rPr>
          <w:rFonts w:cs="Traditional Arabic" w:hint="cs"/>
          <w:sz w:val="24"/>
          <w:szCs w:val="24"/>
          <w:rtl/>
          <w:lang w:bidi="ar-EG"/>
        </w:rPr>
        <w:t>1/83-84</w:t>
      </w:r>
      <w:r>
        <w:rPr>
          <w:rFonts w:cs="Traditional Arabic" w:hint="cs"/>
          <w:sz w:val="24"/>
          <w:szCs w:val="24"/>
          <w:rtl/>
          <w:lang w:bidi="ar-EG"/>
        </w:rPr>
        <w:t>)</w:t>
      </w:r>
      <w:r w:rsidR="00C472C6" w:rsidRPr="00A002EC">
        <w:rPr>
          <w:rFonts w:cs="Traditional Arabic" w:hint="cs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D5569"/>
    <w:multiLevelType w:val="hybridMultilevel"/>
    <w:tmpl w:val="C5B8D924"/>
    <w:lvl w:ilvl="0" w:tplc="EED636A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2C6"/>
    <w:rsid w:val="002078CA"/>
    <w:rsid w:val="002A5FB2"/>
    <w:rsid w:val="00526B7C"/>
    <w:rsid w:val="00573180"/>
    <w:rsid w:val="00695E8E"/>
    <w:rsid w:val="007B0909"/>
    <w:rsid w:val="007B50C5"/>
    <w:rsid w:val="00831E19"/>
    <w:rsid w:val="00A002EC"/>
    <w:rsid w:val="00A0350A"/>
    <w:rsid w:val="00A42E3B"/>
    <w:rsid w:val="00BD7C00"/>
    <w:rsid w:val="00BE6DDC"/>
    <w:rsid w:val="00C472C6"/>
    <w:rsid w:val="00F020EE"/>
    <w:rsid w:val="00FE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96ADB1-C7E5-4236-852A-758D3F10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72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2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72C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6AE5-5E1D-4E70-BD1D-396BDBA0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7</cp:revision>
  <cp:lastPrinted>2016-05-18T10:04:00Z</cp:lastPrinted>
  <dcterms:created xsi:type="dcterms:W3CDTF">2016-03-02T12:29:00Z</dcterms:created>
  <dcterms:modified xsi:type="dcterms:W3CDTF">2016-05-18T10:04:00Z</dcterms:modified>
</cp:coreProperties>
</file>