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96" w:rsidRPr="00BF522A" w:rsidRDefault="008B0596" w:rsidP="00BF522A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BF522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شبهة اعتقاد المشركين في آلهتهم التأثير بالضر والنفع</w:t>
      </w:r>
    </w:p>
    <w:p w:rsidR="00573180" w:rsidRPr="00BF522A" w:rsidRDefault="00946185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8B0596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استدلال</w:t>
      </w:r>
      <w:r w:rsidR="008B0596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هم</w:t>
      </w:r>
      <w:bookmarkStart w:id="0" w:name="_GoBack"/>
      <w:bookmarkEnd w:id="0"/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بقول</w:t>
      </w:r>
      <w:r w:rsidR="008B0596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 تعالى: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{قُلِ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ادْعُوا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الَّذِينَ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زَعَمْتُمْ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مِنْ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دُونِهِ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فَلَا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يَمْلِكُونَ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كَشْفَ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الضُّرِّ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عَنْكُمْ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وَلَا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تَحْوِيلًا}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[الإسراء: 56]، فيقولون: إن الآية دالة</w:t>
      </w:r>
      <w:r w:rsidR="008B0596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المشركين كانوا يعتقدون في آلهتهم التأثير</w:t>
      </w:r>
      <w:r w:rsidR="008B0596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بالنفع</w:t>
      </w:r>
      <w:r w:rsidR="008B0596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والض</w:t>
      </w:r>
      <w:r w:rsidR="008B0596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8B0596" w:rsidRPr="00BF52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8B0596" w:rsidRPr="00BF522A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8B0596" w:rsidRPr="00BF52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946185" w:rsidRPr="00BF522A" w:rsidRDefault="00946185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BF522A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8B0596" w:rsidRPr="00BF522A" w:rsidRDefault="008B0596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F52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BF522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الآية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حجة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عليهم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ودالة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خلاف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يريدون، إذ أنها في الاحتجاج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المشركين في عبادت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هم غير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مع علم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هم أنها لا تملك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كشف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الضر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ولا التحويل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عنه، وهذا المعنى قد جاء مبينًا في آيات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كثيرة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كتاب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؛ 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كما في قوله تعالى: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{قُلِ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ادْعُوا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الَّذِينَ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زَعَمْتُمْ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مِنْ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دُونِ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اللَّهِ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لَايَمْلِكُونَ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مِثْقَالَ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ذَرَّةٍ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فِي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السَّمَاوَاتِ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وَلَا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فِي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الْأَرْضِ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وَمَا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لَهُمْ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فِيهِمَا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مِنْ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شِرْكٍ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وَمَا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لَهُ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مِنْهُمْ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مِنْ</w:t>
      </w:r>
      <w:r w:rsidR="00275F14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ظَهِيرٍ}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[سبأ: 22]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8B0596" w:rsidRPr="00BF522A" w:rsidRDefault="008B0596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F52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BF522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الآية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دالة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على: </w:t>
      </w:r>
      <w:r w:rsidR="00275F14" w:rsidRPr="00BF522A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أن المعبودين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دون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له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الذين زعم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الكفار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أنهم يقر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بونهم إلى الله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زلفى، ويشفعون لهم عنده لا يملك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ون كشف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الضر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عابديهم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 إزالة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المكروه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عنهم، ولا تحويلًا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 تحويله من إنسان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آخر، أو تحويل المرض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الصحة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، والفقر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الغنى، والقحط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الجدب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ونحو ذلك</w:t>
      </w:r>
      <w:r w:rsidR="00275F14" w:rsidRPr="00BF522A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275F14" w:rsidRPr="00BF52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BF52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BF522A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BF52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D105F" w:rsidRPr="00BF522A" w:rsidRDefault="008B0596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F52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BF522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المشركون كانوا يعتقدون النفع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والضر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آلهتهم بهذا الاعتبار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(الوساطة)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لأنها تملك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الاستقلال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ذلك أو أن لها شيئًا من خصائص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الربوبية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ِكال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خلق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والرزق</w:t>
      </w:r>
      <w:r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ونحو ذلك</w:t>
      </w:r>
      <w:r w:rsidRPr="00BF52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BF522A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BF522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CD105F" w:rsidRPr="00BF522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946185" w:rsidRPr="00BF522A" w:rsidRDefault="00946185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946185" w:rsidRPr="00BF522A" w:rsidRDefault="00946185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946185" w:rsidRPr="00BF522A" w:rsidRDefault="00946185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946185" w:rsidRPr="00BF522A" w:rsidRDefault="00946185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946185" w:rsidRPr="00BF522A" w:rsidRDefault="00946185" w:rsidP="00BF522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946185" w:rsidRPr="00BF522A" w:rsidSect="00887C5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15" w:rsidRDefault="00277215" w:rsidP="00946185">
      <w:pPr>
        <w:spacing w:after="0" w:line="240" w:lineRule="auto"/>
      </w:pPr>
      <w:r>
        <w:separator/>
      </w:r>
    </w:p>
  </w:endnote>
  <w:endnote w:type="continuationSeparator" w:id="0">
    <w:p w:rsidR="00277215" w:rsidRDefault="00277215" w:rsidP="0094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15" w:rsidRDefault="00277215" w:rsidP="00946185">
      <w:pPr>
        <w:spacing w:after="0" w:line="240" w:lineRule="auto"/>
      </w:pPr>
      <w:r>
        <w:separator/>
      </w:r>
    </w:p>
  </w:footnote>
  <w:footnote w:type="continuationSeparator" w:id="0">
    <w:p w:rsidR="00277215" w:rsidRDefault="00277215" w:rsidP="00946185">
      <w:pPr>
        <w:spacing w:after="0" w:line="240" w:lineRule="auto"/>
      </w:pPr>
      <w:r>
        <w:continuationSeparator/>
      </w:r>
    </w:p>
  </w:footnote>
  <w:footnote w:id="1">
    <w:p w:rsidR="008B0596" w:rsidRPr="00BF522A" w:rsidRDefault="008B0596" w:rsidP="008B0596">
      <w:pPr>
        <w:pStyle w:val="FootnoteText"/>
        <w:jc w:val="both"/>
        <w:rPr>
          <w:rFonts w:cs="Traditional Arabic"/>
          <w:sz w:val="28"/>
          <w:szCs w:val="28"/>
          <w:rtl/>
          <w:lang w:bidi="ar-EG"/>
        </w:rPr>
      </w:pPr>
      <w:r w:rsidRPr="00BF522A">
        <w:rPr>
          <w:rFonts w:cs="Traditional Arabic" w:hint="cs"/>
          <w:sz w:val="28"/>
          <w:szCs w:val="28"/>
          <w:rtl/>
          <w:lang w:bidi="ar-EG"/>
        </w:rPr>
        <w:t>(</w:t>
      </w:r>
      <w:r w:rsidRPr="00BF522A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F522A">
        <w:rPr>
          <w:rFonts w:cs="Traditional Arabic" w:hint="cs"/>
          <w:sz w:val="28"/>
          <w:szCs w:val="28"/>
          <w:rtl/>
          <w:lang w:bidi="ar-EG"/>
        </w:rPr>
        <w:t>) كشف الارتياب للعاملي، ص(170).</w:t>
      </w:r>
    </w:p>
  </w:footnote>
  <w:footnote w:id="2">
    <w:p w:rsidR="008B0596" w:rsidRPr="00BF522A" w:rsidRDefault="008B0596" w:rsidP="008B0596">
      <w:pPr>
        <w:pStyle w:val="FootnoteText"/>
        <w:jc w:val="both"/>
        <w:rPr>
          <w:rFonts w:cs="Traditional Arabic"/>
          <w:sz w:val="28"/>
          <w:szCs w:val="28"/>
          <w:rtl/>
          <w:lang w:bidi="ar-EG"/>
        </w:rPr>
      </w:pPr>
      <w:r w:rsidRPr="00BF522A">
        <w:rPr>
          <w:rFonts w:cs="Traditional Arabic" w:hint="cs"/>
          <w:sz w:val="28"/>
          <w:szCs w:val="28"/>
          <w:rtl/>
          <w:lang w:bidi="ar-EG"/>
        </w:rPr>
        <w:t>(</w:t>
      </w:r>
      <w:r w:rsidRPr="00BF522A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F522A">
        <w:rPr>
          <w:rFonts w:cs="Traditional Arabic" w:hint="cs"/>
          <w:sz w:val="28"/>
          <w:szCs w:val="28"/>
          <w:rtl/>
          <w:lang w:bidi="ar-EG"/>
        </w:rPr>
        <w:t>)أضواء البيان للشنقيطي، ص(3/598-599).</w:t>
      </w:r>
    </w:p>
  </w:footnote>
  <w:footnote w:id="3">
    <w:p w:rsidR="008B0596" w:rsidRPr="00BF522A" w:rsidRDefault="008B0596" w:rsidP="008B0596">
      <w:pPr>
        <w:pStyle w:val="FootnoteText"/>
        <w:jc w:val="both"/>
        <w:rPr>
          <w:rFonts w:cs="Traditional Arabic"/>
          <w:sz w:val="28"/>
          <w:szCs w:val="28"/>
          <w:lang w:bidi="ar-EG"/>
        </w:rPr>
      </w:pPr>
      <w:r w:rsidRPr="00BF522A">
        <w:rPr>
          <w:rFonts w:cs="Traditional Arabic" w:hint="cs"/>
          <w:sz w:val="28"/>
          <w:szCs w:val="28"/>
          <w:rtl/>
          <w:lang w:bidi="ar-EG"/>
        </w:rPr>
        <w:t>(</w:t>
      </w:r>
      <w:r w:rsidRPr="00BF522A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F522A">
        <w:rPr>
          <w:rFonts w:cs="Traditional Arabic" w:hint="cs"/>
          <w:sz w:val="28"/>
          <w:szCs w:val="28"/>
          <w:rtl/>
          <w:lang w:bidi="ar-EG"/>
        </w:rPr>
        <w:t>)الصراع بين الإسلام والوثنية لعبد الله القصيمي، ص(2/142).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7164"/>
    <w:multiLevelType w:val="hybridMultilevel"/>
    <w:tmpl w:val="769CA83E"/>
    <w:lvl w:ilvl="0" w:tplc="8CA053F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185"/>
    <w:rsid w:val="002078CA"/>
    <w:rsid w:val="00275F14"/>
    <w:rsid w:val="00277215"/>
    <w:rsid w:val="004A628D"/>
    <w:rsid w:val="00517E0C"/>
    <w:rsid w:val="00573180"/>
    <w:rsid w:val="00643652"/>
    <w:rsid w:val="00887C5B"/>
    <w:rsid w:val="008B0596"/>
    <w:rsid w:val="00946185"/>
    <w:rsid w:val="00BF522A"/>
    <w:rsid w:val="00CD105F"/>
    <w:rsid w:val="00F2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8FD2DC-FDB8-4931-BB12-0D304703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46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1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6799-B90A-4C4F-A78C-6F431D34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7</cp:revision>
  <dcterms:created xsi:type="dcterms:W3CDTF">2016-03-02T13:17:00Z</dcterms:created>
  <dcterms:modified xsi:type="dcterms:W3CDTF">2016-05-19T12:26:00Z</dcterms:modified>
</cp:coreProperties>
</file>