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ED" w:rsidRPr="001D4802" w:rsidRDefault="00B634F5" w:rsidP="001D4802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 xml:space="preserve">هل النصوص الدالة على حفظ الله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ل</w:t>
      </w:r>
      <w:r w:rsidR="00860C66" w:rsidRPr="001D4802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لأمة من الشرك تبين عدم وقوعه لأفرادها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؟</w:t>
      </w:r>
      <w:bookmarkStart w:id="0" w:name="_GoBack"/>
      <w:bookmarkEnd w:id="0"/>
    </w:p>
    <w:p w:rsidR="00913EED" w:rsidRPr="001D4802" w:rsidRDefault="00E71FC4" w:rsidP="001D480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شبهة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استدلاله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م بالنصوص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الدالة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حفظ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عموم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الأمة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الشرك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، أو عدم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الخوف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الأمة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منه، فقد تمسكوا فيها بالنصوص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الدالة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يأس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الشيطان أن ي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عبد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جزيرة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، والنصوص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الدالة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عدم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خوف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 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الشرك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 على أمته.</w:t>
      </w:r>
    </w:p>
    <w:p w:rsidR="00E71FC4" w:rsidRPr="001D4802" w:rsidRDefault="00643C73" w:rsidP="001D480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فمن ذلك ما رواه مسلم عن جابر 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 سمعت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رسول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صلى الله عليه وسلم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يقول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  <w:r w:rsidR="00F060CF" w:rsidRPr="001D480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 xml:space="preserve"> »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إن الشيطان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قد أيس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أن يعبد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ه المصلون في جزيرة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العرب، ولكن في التحريش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بينهم</w:t>
      </w:r>
      <w:r w:rsidR="00F060CF" w:rsidRPr="001D480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F060CF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1D480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، وما كان في هذا المعنى من النصوصِ؛</w:t>
      </w:r>
      <w:r w:rsidR="00E71FC4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فقالوا: إن هذا أمان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E71FC4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النبي 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E71FC4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لهذه الأمة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E71FC4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تقع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E71FC4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الشرك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913EED" w:rsidRPr="001D480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643C73" w:rsidRPr="001D4802" w:rsidRDefault="00643C73" w:rsidP="001D480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ويمكن أن يحلق بذلك ما يستدلون به من نهي النبي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صلى الله عليه وسلم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يبقى دينان في جزيرة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1D480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فيقولون: هذا أمان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للجزيرة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يكون فيها غير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دين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الإسلام، وكذلك إخبار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النبي 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أروز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الإيمان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المدينة</w:t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1D480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، فيعرضونه في مقام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حفظ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الأمة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الشرك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، فما يكون في المدينة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الاستغاثات والتوسلات بالأموات فهو محل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إيمان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شرك</w:t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913EED" w:rsidRPr="001D480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5"/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643C73" w:rsidRPr="001D4802" w:rsidRDefault="00643C73" w:rsidP="001D480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</w:pPr>
      <w:r w:rsidRPr="001D4802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EG"/>
        </w:rPr>
        <w:t>الرد:</w:t>
      </w:r>
    </w:p>
    <w:p w:rsidR="00643C73" w:rsidRPr="001D4802" w:rsidRDefault="00913EED" w:rsidP="001D480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1D480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1D480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ما يتعلق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بحديث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يأس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الشيطان أن ي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عبد في جزيرة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: فالحديث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ثابت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عدة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طرق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عدد من الصحابة 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عنهم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، وإن كان بعض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طرق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ه لا تخلو من مقال، إلا أن ذلك لا يضر؛ لسلامة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الطرق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الأخرى، لكن استدلالهم بالحديث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عدم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وقوع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أحد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الأمة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الشرك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فباطل، والجواب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643C73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 من وجوه:</w:t>
      </w:r>
    </w:p>
    <w:p w:rsidR="00643C73" w:rsidRPr="001D4802" w:rsidRDefault="00643C73" w:rsidP="001D4802">
      <w:pPr>
        <w:pStyle w:val="ListParagraph"/>
        <w:numPr>
          <w:ilvl w:val="1"/>
          <w:numId w:val="1"/>
        </w:numPr>
        <w:spacing w:before="120" w:after="160" w:line="240" w:lineRule="auto"/>
        <w:ind w:left="0"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معارضت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ه للأحاديث الثابتة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الدالة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وقوع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طوائف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الأمة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بالشرك، ولحوق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ها بالمشركين، 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وما كان من ارتداد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طوائف من الأمة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الإسلام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بعد وفاة النبي 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F1BD0" w:rsidRPr="001D4802" w:rsidRDefault="005F1BD0" w:rsidP="001D4802">
      <w:pPr>
        <w:pStyle w:val="ListParagraph"/>
        <w:numPr>
          <w:ilvl w:val="1"/>
          <w:numId w:val="1"/>
        </w:numPr>
        <w:spacing w:before="120" w:after="160" w:line="240" w:lineRule="auto"/>
        <w:ind w:left="0"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lastRenderedPageBreak/>
        <w:t>الحديث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 الإخبار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يأس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الشيطان من أن ي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عب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جزيرة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العرب، ويأس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ُالشيطان ليس حكمًا قدريًّ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ا نافذًا، بحيث إن خالف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ه الواقع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زمن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ِمن 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الأزمان يكون ذلك معارضة لقدر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أخبر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عنه الشارع.</w:t>
      </w:r>
    </w:p>
    <w:p w:rsidR="005F1BD0" w:rsidRPr="001D4802" w:rsidRDefault="005F1BD0" w:rsidP="001D4802">
      <w:pPr>
        <w:pStyle w:val="ListParagraph"/>
        <w:numPr>
          <w:ilvl w:val="1"/>
          <w:numId w:val="1"/>
        </w:numPr>
        <w:spacing w:before="120" w:after="160" w:line="240" w:lineRule="auto"/>
        <w:ind w:left="0"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الحديث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فيه تخصيص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جزيرة العرب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بذلك، ومعناه أن غيرها لا يشمله ذلك، وهذا حجة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المبتدعة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استدلالهم بالحديث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 الشرك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يكون في الأمة، إذ أن حدود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الأمة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أوسع من جزيرة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العرب.</w:t>
      </w:r>
    </w:p>
    <w:p w:rsidR="005F1BD0" w:rsidRPr="001D4802" w:rsidRDefault="005F1BD0" w:rsidP="001D4802">
      <w:pPr>
        <w:pStyle w:val="ListParagraph"/>
        <w:numPr>
          <w:ilvl w:val="1"/>
          <w:numId w:val="1"/>
        </w:numPr>
        <w:spacing w:before="120" w:after="160" w:line="240" w:lineRule="auto"/>
        <w:ind w:left="0"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أن م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ن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أهل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العلم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حمل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الحديث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عموم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الأمة</w:t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1D480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6"/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فقد قال الحافظ ابن رجب 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-: </w:t>
      </w:r>
      <w:r w:rsidR="00F060CF" w:rsidRPr="001D480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المراد أنه يئس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 تجتمع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الأمة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كلها على الشرك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الأكبر</w:t>
      </w:r>
      <w:r w:rsidR="00913EED" w:rsidRPr="001D4802">
        <w:rPr>
          <w:rFonts w:ascii="Traditional Arabic" w:hAnsi="Traditional Arabic" w:cs="Traditional Arabic"/>
          <w:sz w:val="32"/>
          <w:szCs w:val="32"/>
          <w:lang w:bidi="ar-EG"/>
        </w:rPr>
        <w:t>&lt;&lt;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F1BD0" w:rsidRPr="001D4802" w:rsidRDefault="005F1BD0" w:rsidP="001D4802">
      <w:pPr>
        <w:pStyle w:val="ListParagraph"/>
        <w:numPr>
          <w:ilvl w:val="1"/>
          <w:numId w:val="1"/>
        </w:numPr>
        <w:spacing w:before="120" w:after="160" w:line="240" w:lineRule="auto"/>
        <w:ind w:left="0"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أن في بعض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ألفاظ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طرق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الحديث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جاء تقييد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المي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ئ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وس منهم بالمصل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ين، فيحتمل أن يكون اليأس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واقعًا على أناس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مخصوصين بناء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ً على أن (ا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ل) تكون للعهد، وأن ي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راد بهم الكاملون فيها.</w:t>
      </w:r>
    </w:p>
    <w:p w:rsidR="005F1BD0" w:rsidRPr="001D4802" w:rsidRDefault="00913EED" w:rsidP="001D480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1D480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1D480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فيما يتعلق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بما يستدلون به من فضائل الجزيرة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والحرمين وأروز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الإيمان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إلى المدينة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والنهي أن يبقى دينان في جزيرة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العرب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ِ؛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بأن هذا يدل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 هذه الديار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ديار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إيمان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ٍ</w:t>
      </w:r>
      <w:r w:rsidR="005F1BD0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شرك، والجواب:</w:t>
      </w:r>
    </w:p>
    <w:p w:rsidR="005F1BD0" w:rsidRPr="001D4802" w:rsidRDefault="005F1BD0" w:rsidP="001D4802">
      <w:pPr>
        <w:pStyle w:val="ListParagraph"/>
        <w:numPr>
          <w:ilvl w:val="1"/>
          <w:numId w:val="1"/>
        </w:numPr>
        <w:spacing w:before="120" w:after="160" w:line="240" w:lineRule="auto"/>
        <w:ind w:left="0"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هذا ليس في محل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المنازعة، إذ لا تعارض بين هذه الفضائل، وبين أن يقع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أحد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الأمة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الشرك، أو أن يعيش في تلك البقاع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هو من أهل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الشرك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والضلال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، ولقد كانت المدينة خير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 كانت في زمن النبي 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، ومع ذلك لم تخل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المنافقين الذين قالوا آمنا بأفواههم ولم تؤمن قلوب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هم.</w:t>
      </w:r>
    </w:p>
    <w:p w:rsidR="005F1BD0" w:rsidRPr="001D4802" w:rsidRDefault="005F1BD0" w:rsidP="001D4802">
      <w:pPr>
        <w:pStyle w:val="ListParagraph"/>
        <w:numPr>
          <w:ilvl w:val="1"/>
          <w:numId w:val="1"/>
        </w:numPr>
        <w:spacing w:before="120" w:after="160" w:line="240" w:lineRule="auto"/>
        <w:ind w:left="0"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بل قد جاء في أحاديث الدجال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مايدل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 المدينة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يكون فيها كفار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ومنافقون، كما جاء في الصحيحين من حديث</w:t>
      </w:r>
      <w:r w:rsidR="00913EED"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أنس بن مالك 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رضي الله عنه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عن النبي </w:t>
      </w:r>
      <w:r w:rsidR="001D480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قال:</w:t>
      </w:r>
      <w:r w:rsidR="00F060CF" w:rsidRPr="001D480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 xml:space="preserve"> »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ليس من بلد إلا سيطؤه الدجال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ُ،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إلا مكة والمدينة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،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ليس له من نقاب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ها نقب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ٌ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إلا عليه الملائكة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صافين يحرسونها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،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فثم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َّ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ترجف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المدينة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بأهل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ها ثلاث رجفات في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خر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ِ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ج الله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ُ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كل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َّ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كافر</w:t>
      </w:r>
      <w:r w:rsidR="00913EED"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>ٍ</w:t>
      </w:r>
      <w:r w:rsidRPr="001D4802">
        <w:rPr>
          <w:rFonts w:ascii="Traditional Arabic" w:hAnsi="Traditional Arabic" w:cs="Traditional Arabic"/>
          <w:color w:val="002060"/>
          <w:sz w:val="32"/>
          <w:szCs w:val="32"/>
          <w:rtl/>
          <w:lang w:bidi="ar-EG"/>
        </w:rPr>
        <w:t xml:space="preserve"> ومنافق</w:t>
      </w:r>
      <w:r w:rsidR="00F060CF" w:rsidRPr="001D4802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F060CF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Pr="001D4802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7"/>
      </w:r>
      <w:r w:rsidR="00913EED" w:rsidRPr="001D4802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Pr="001D4802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73180" w:rsidRPr="001D4802" w:rsidRDefault="00573180" w:rsidP="001D4802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</w:p>
    <w:sectPr w:rsidR="00573180" w:rsidRPr="001D4802" w:rsidSect="00B634F5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DA" w:rsidRDefault="00A90EDA" w:rsidP="00E71FC4">
      <w:pPr>
        <w:spacing w:after="0" w:line="240" w:lineRule="auto"/>
      </w:pPr>
      <w:r>
        <w:separator/>
      </w:r>
    </w:p>
  </w:endnote>
  <w:endnote w:type="continuationSeparator" w:id="0">
    <w:p w:rsidR="00A90EDA" w:rsidRDefault="00A90EDA" w:rsidP="00E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DA" w:rsidRDefault="00A90EDA" w:rsidP="00E71FC4">
      <w:pPr>
        <w:spacing w:after="0" w:line="240" w:lineRule="auto"/>
      </w:pPr>
      <w:r>
        <w:separator/>
      </w:r>
    </w:p>
  </w:footnote>
  <w:footnote w:type="continuationSeparator" w:id="0">
    <w:p w:rsidR="00A90EDA" w:rsidRDefault="00A90EDA" w:rsidP="00E71FC4">
      <w:pPr>
        <w:spacing w:after="0" w:line="240" w:lineRule="auto"/>
      </w:pPr>
      <w:r>
        <w:continuationSeparator/>
      </w:r>
    </w:p>
  </w:footnote>
  <w:footnote w:id="1">
    <w:p w:rsidR="00643C73" w:rsidRPr="001D4802" w:rsidRDefault="00913EED" w:rsidP="00913EED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(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رواه مسلم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كتاب 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صفة القيامة والجنة والنار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باب تحريش الشيطان وبعثه سراياه لفتنة الناس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،(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2812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2">
    <w:p w:rsidR="00913EED" w:rsidRPr="001D4802" w:rsidRDefault="00913EED" w:rsidP="00913EED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)شفاء السقام للسبكي، ص(250)، الصواعق الإلهية لسليمان بن عبد الوهاب، ص(116-119)، صلح الإخوان لابن جرجيس، ص(144)، البراهين الساطعة للقضاعي، ص(384).</w:t>
      </w:r>
    </w:p>
  </w:footnote>
  <w:footnote w:id="3">
    <w:p w:rsidR="00643C73" w:rsidRPr="001D4802" w:rsidRDefault="00913EED" w:rsidP="001D4802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ومن ذلك ما رواه أحمد في المسند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،(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6/274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عن عائشة 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- 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رضي الله عنها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-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قالت: 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t>&gt;&gt;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كان آخر ما عهد رسول الله </w:t>
      </w:r>
      <w:r w:rsidR="001D4802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صلى الله عليه وسلم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أن قال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:</w:t>
      </w:r>
      <w:r w:rsidR="00643C73" w:rsidRPr="001D4802">
        <w:rPr>
          <w:rFonts w:ascii="Traditional Arabic" w:hAnsi="Traditional Arabic" w:cs="Traditional Arabic"/>
          <w:color w:val="002060"/>
          <w:sz w:val="28"/>
          <w:szCs w:val="28"/>
          <w:rtl/>
          <w:lang w:bidi="ar-EG"/>
        </w:rPr>
        <w:t>لايترك بجزيرة العرب دينان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t>&lt;&lt;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4">
    <w:p w:rsidR="00643C73" w:rsidRPr="001D4802" w:rsidRDefault="00913EED" w:rsidP="00913EED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رواه البخاري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،كتاب 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الحج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باب الإيمان يأرز إلى المدينة، 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1876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3C73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5">
    <w:p w:rsidR="00913EED" w:rsidRPr="001D4802" w:rsidRDefault="00913EED" w:rsidP="00913EED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)الصواعق الإلهية لسليمان بن عبد الوهاب، ص(124-126).</w:t>
      </w:r>
    </w:p>
  </w:footnote>
  <w:footnote w:id="6">
    <w:p w:rsidR="005F1BD0" w:rsidRPr="001D4802" w:rsidRDefault="00913EED" w:rsidP="00913EED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lang w:bidi="ar-EG"/>
        </w:rPr>
      </w:pP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ذكره الشيخ عبد الله بن عبد الرحمن أبو بطين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كما في مجموعة الرسائل والمسائل النجدية، ص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4/482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وذكر عن الحافظ ابن رجب 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- 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رحمه الله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- في شرح الحديث قوله: 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t>&gt;&gt;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المراد أنه يئسأنتجتمعالأمةكلهاعلىالشركالأكبر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t>&lt;&lt;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قلت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ُ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: وقد بحثت عن كلام ابن رجب في مظانه فلم أجده، والله تعالى أعلم.</w:t>
      </w:r>
    </w:p>
  </w:footnote>
  <w:footnote w:id="7">
    <w:p w:rsidR="005F1BD0" w:rsidRPr="001D4802" w:rsidRDefault="00913EED" w:rsidP="00913EED">
      <w:pPr>
        <w:spacing w:before="20" w:after="20" w:line="240" w:lineRule="auto"/>
        <w:ind w:firstLine="26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Pr="001D4802">
        <w:rPr>
          <w:rFonts w:ascii="Traditional Arabic" w:hAnsi="Traditional Arabic" w:cs="Traditional Arabic"/>
          <w:sz w:val="28"/>
          <w:szCs w:val="28"/>
          <w:lang w:bidi="ar-EG"/>
        </w:rPr>
        <w:footnoteRef/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رواه البخاري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، كتاب 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الحج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،ب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اب لا يدخل الدجال المدينة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،(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1881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 ومسلم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 كتاب الفتن وأ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شراط الساعة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،ب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اب قصة الجساسة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،(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2943</w:t>
      </w:r>
      <w:r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5F1BD0" w:rsidRPr="001D4802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A0DAD"/>
    <w:multiLevelType w:val="hybridMultilevel"/>
    <w:tmpl w:val="3AE0EDD2"/>
    <w:lvl w:ilvl="0" w:tplc="D90668C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FC4"/>
    <w:rsid w:val="001D4802"/>
    <w:rsid w:val="002078CA"/>
    <w:rsid w:val="00424BB1"/>
    <w:rsid w:val="00573180"/>
    <w:rsid w:val="005F1BD0"/>
    <w:rsid w:val="00643C73"/>
    <w:rsid w:val="006A7568"/>
    <w:rsid w:val="00860C66"/>
    <w:rsid w:val="00913EED"/>
    <w:rsid w:val="00A90EDA"/>
    <w:rsid w:val="00B634F5"/>
    <w:rsid w:val="00C24C48"/>
    <w:rsid w:val="00DA3EC3"/>
    <w:rsid w:val="00E71FC4"/>
    <w:rsid w:val="00F0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9B9C036-9244-4CD9-9253-E10E8E7C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F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E71F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71F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1F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1FC4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8DC9-A863-4DEF-ABD9-9C3A78D5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7</cp:revision>
  <dcterms:created xsi:type="dcterms:W3CDTF">2016-03-02T15:50:00Z</dcterms:created>
  <dcterms:modified xsi:type="dcterms:W3CDTF">2016-05-26T09:57:00Z</dcterms:modified>
</cp:coreProperties>
</file>