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585" w:rsidRPr="00997FDC" w:rsidRDefault="00EC5585" w:rsidP="00997FDC">
      <w:pPr>
        <w:spacing w:before="120" w:after="12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997FD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هل فضل الأمة وعصمتها يمنع أفراد</w:t>
      </w:r>
      <w:r w:rsidR="006A191D" w:rsidRPr="00997FD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 بها</w:t>
      </w:r>
      <w:r w:rsidRPr="00997FD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 من الوقوع في الشرك؟</w:t>
      </w:r>
    </w:p>
    <w:p w:rsidR="00573180" w:rsidRPr="00997FDC" w:rsidRDefault="00277D60" w:rsidP="00997FDC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شبهة</w:t>
      </w:r>
      <w:r w:rsidR="00EC5585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ماجاء في فضل</w:t>
      </w:r>
      <w:r w:rsidR="00EC5585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هذه الأمة</w:t>
      </w:r>
      <w:r w:rsidR="00EC5585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وبقاء أمر</w:t>
      </w:r>
      <w:r w:rsidR="00EC5585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ها إلى قيام</w:t>
      </w:r>
      <w:r w:rsidR="00EC5585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الساعة</w:t>
      </w:r>
      <w:r w:rsidR="00EC5585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ِ؛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فقد تعلقوا فيها بالنصوص</w:t>
      </w:r>
      <w:r w:rsidR="00EC5585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الدالة</w:t>
      </w:r>
      <w:r w:rsidR="00EC5585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هذا، ومن ذلك قوله تعالى: </w:t>
      </w:r>
      <w:r w:rsidR="00EC5585"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{</w:t>
      </w:r>
      <w:r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كُنْتُمْ</w:t>
      </w:r>
      <w:r w:rsidR="00EC2012"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خَيْرَ</w:t>
      </w:r>
      <w:r w:rsidR="00EC2012"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أُمَّةٍ</w:t>
      </w:r>
      <w:r w:rsidR="00EC2012"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أُخْرِجَتْ</w:t>
      </w:r>
      <w:r w:rsidR="00EC2012"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لِلنَّاسِ}</w:t>
      </w:r>
      <w:r w:rsidR="00EC2012"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[آلعمران: 110]، وقوله تعالى: </w:t>
      </w:r>
      <w:r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{وَكَذَلِكَ</w:t>
      </w:r>
      <w:r w:rsidR="00EC2012"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جَعَلْنَاكُمْ</w:t>
      </w:r>
      <w:r w:rsidR="00EC2012"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أُمَّةً</w:t>
      </w:r>
      <w:r w:rsidR="00EC2012"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وَسَطًا</w:t>
      </w:r>
      <w:r w:rsidR="00EC2012"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لِتَكُونُوا</w:t>
      </w:r>
      <w:r w:rsidR="00EC2012"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شُهَدَاءَ</w:t>
      </w:r>
      <w:r w:rsidR="00EC2012"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عَلَى</w:t>
      </w:r>
      <w:r w:rsidR="00EC2012"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النَّاسِ</w:t>
      </w:r>
      <w:r w:rsidR="00EC2012"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وَيَكُونَ</w:t>
      </w:r>
      <w:r w:rsidR="00EC2012"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الرَّسُولُ</w:t>
      </w:r>
      <w:r w:rsidR="00EC2012"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عَلَيْكُمْ</w:t>
      </w:r>
      <w:r w:rsidR="00EC2012"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شَهِيدًا}</w:t>
      </w:r>
      <w:r w:rsidR="00EC2012" w:rsidRPr="00997F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[البقرة: 143]</w:t>
      </w:r>
      <w:r w:rsidR="00997FD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، 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ومن ذلك قول</w:t>
      </w:r>
      <w:r w:rsidR="00EC5585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النبي </w:t>
      </w:r>
      <w:r w:rsidR="00997FD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="00EC5585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:</w:t>
      </w:r>
      <w:r w:rsidR="00EC2012" w:rsidRPr="00997FDC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997FDC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 xml:space="preserve"> </w:t>
      </w:r>
      <w:r w:rsidRPr="00997FDC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من ي</w:t>
      </w:r>
      <w:r w:rsidR="00EC5585" w:rsidRPr="00997FDC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ُ</w:t>
      </w:r>
      <w:r w:rsidRPr="00997FDC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ر</w:t>
      </w:r>
      <w:r w:rsidR="00EC5585" w:rsidRPr="00997FDC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ِ</w:t>
      </w:r>
      <w:r w:rsidRPr="00997FDC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د الله</w:t>
      </w:r>
      <w:r w:rsidR="00EC5585" w:rsidRPr="00997FDC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ُ</w:t>
      </w:r>
      <w:r w:rsidRPr="00997FDC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 xml:space="preserve"> به خيرًا يفقه في الدين، وإنما أنا قاسم</w:t>
      </w:r>
      <w:r w:rsidR="00EC5585" w:rsidRPr="00997FDC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ٌ</w:t>
      </w:r>
      <w:r w:rsidRPr="00997FDC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، والله</w:t>
      </w:r>
      <w:r w:rsidR="00EC5585" w:rsidRPr="00997FDC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ُ</w:t>
      </w:r>
      <w:r w:rsidRPr="00997FDC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 xml:space="preserve"> يعطي، ولن يزال أمر هذه الأمة</w:t>
      </w:r>
      <w:r w:rsidR="00EC5585" w:rsidRPr="00997FDC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ِ</w:t>
      </w:r>
      <w:r w:rsidRPr="00997FDC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 xml:space="preserve"> مستقيمًا حتى تقوم الساعة</w:t>
      </w:r>
      <w:r w:rsidR="00EC5585" w:rsidRPr="00997FDC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ُ</w:t>
      </w:r>
      <w:r w:rsidRPr="00997FDC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 xml:space="preserve"> أو حتى يأتي أمر</w:t>
      </w:r>
      <w:r w:rsidR="00EC5585" w:rsidRPr="00997FDC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ُ</w:t>
      </w:r>
      <w:r w:rsidRPr="00997FDC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 xml:space="preserve"> الله</w:t>
      </w:r>
      <w:r w:rsidR="00EC5585" w:rsidRPr="00997FDC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ِ</w:t>
      </w:r>
      <w:r w:rsidRPr="00997FDC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 xml:space="preserve"> تعالى</w:t>
      </w:r>
      <w:r w:rsidR="00EC2012" w:rsidRPr="00997FDC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EC2012" w:rsidRPr="00997FD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 xml:space="preserve"> </w:t>
      </w:r>
      <w:r w:rsidR="00EC5585" w:rsidRPr="00997FD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997FD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EC5585" w:rsidRPr="00997FD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، وما كان في هذا المعنى من النصوص</w:t>
      </w:r>
      <w:r w:rsidR="00EC5585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الدالة</w:t>
      </w:r>
      <w:r w:rsidR="00EC5585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فضل</w:t>
      </w:r>
      <w:r w:rsidR="00EC5585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الأمة</w:t>
      </w:r>
      <w:r w:rsidR="00EC5585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وعصمت</w:t>
      </w:r>
      <w:r w:rsidR="00EC5585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ها</w:t>
      </w:r>
      <w:r w:rsidR="00EC5585" w:rsidRPr="00997FD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997FD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="00EC5585" w:rsidRPr="00997FD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، ويذكرون في تلك تنصيص</w:t>
      </w:r>
      <w:r w:rsidR="00EC5585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العلماء</w:t>
      </w:r>
      <w:r w:rsidR="00EC5585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تكفير</w:t>
      </w:r>
      <w:r w:rsidR="00EC5585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ضل</w:t>
      </w:r>
      <w:r w:rsidR="00EC5585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EC5585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هذه الأمة، كما قال القباني: </w:t>
      </w:r>
      <w:r w:rsidR="00EC2012" w:rsidRPr="00997FDC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نقول إن الأمة قد أجمعت على تكفير من ضلل الأمة، وممن نق</w:t>
      </w:r>
      <w:r w:rsidR="00EC5585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لَ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الإجماع</w:t>
      </w:r>
      <w:r w:rsidR="00EC5585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علماء</w:t>
      </w:r>
      <w:r w:rsidR="00EC5585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الحنابلة</w:t>
      </w:r>
      <w:r w:rsidR="00EC2012" w:rsidRPr="00997FDC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EC2012" w:rsidRPr="00997FD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 xml:space="preserve"> </w:t>
      </w:r>
      <w:r w:rsidR="00EC5585" w:rsidRPr="00997FD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997FD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3"/>
      </w:r>
      <w:r w:rsidR="00EC5585" w:rsidRPr="00997FD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277D60" w:rsidRPr="00997FDC" w:rsidRDefault="00277D60" w:rsidP="00997FDC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</w:pPr>
      <w:r w:rsidRPr="00997FDC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>الرد:</w:t>
      </w:r>
    </w:p>
    <w:p w:rsidR="00EC5585" w:rsidRPr="00997FDC" w:rsidRDefault="00EC5585" w:rsidP="00997FDC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997FD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أولًا:</w:t>
      </w:r>
      <w:r w:rsidR="00997FD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هذا الاستدلال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غير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محل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النزاع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، فأهل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الس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نة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لا يخالفون في فضل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هذه الأمة، وأنها أفضل الأمم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وأسبقها وأوسطها، وأن أمر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ها باق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إلى أن يأتي أمر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 تعالى، وأنها لا تزال منها طائفة على الحق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منصورة، وأنها أكثر أهل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الجنة، فكل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هذا وما في معناه مما دلت به النصوص المستفيضة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فضل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هذه الأمة لا يخالف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فيه أهل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الس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نة، بل يؤمنون به ويرون ضلال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اعتقد غيره.</w:t>
      </w:r>
    </w:p>
    <w:p w:rsidR="00EC5585" w:rsidRPr="00997FDC" w:rsidRDefault="00EC5585" w:rsidP="00997FDC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997FD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ثانيًا:</w:t>
      </w:r>
      <w:r w:rsidR="00997FD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محل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النزاع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هو: هل هذه الأمة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يقع فيها الشرك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أم لا؟ وليس في كون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الأمة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شرك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كل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ها أم لا، فالمبتدعة قد ألزموا أهل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الس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نة بما ليس بلازم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، إذ أن إثبات وقوع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طوائف أو أفراد من الأمة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الشرك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لا يعني أبدًا أن الأمة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أشركت كل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ها وصار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أمر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جميع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هم إلى ضلال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وغواية.</w:t>
      </w:r>
    </w:p>
    <w:p w:rsidR="00277D60" w:rsidRPr="00997FDC" w:rsidRDefault="00EC5585" w:rsidP="00997FDC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  <w:r w:rsidRPr="00997FD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ثالثًا:</w:t>
      </w:r>
      <w:r w:rsidR="00997FD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جاءت النصوص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واضحة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وقوع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طوائف من الأمة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أنواع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الضلال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مما قد يصل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إلى الشرك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بالله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تعالى، وليس هذا بمعارض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للنصوص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الدالة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بقاء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أمر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هذه الأمة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وفضل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ها 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-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ولله الحمد 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-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، فلئن أشرك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أشرك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، وكفر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كفر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بعد إيمانه، فالأمة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لن تخلو في زمن 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من 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الأزمان من أهل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الإيمان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والتوحيد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ِ،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ينصر الله تعالى بهم دينه، ويعلي بهم كلمت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ه، لا يضر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هم من خذلهم 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و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لا من خالفهم حتى يأتي أمر</w:t>
      </w:r>
      <w:r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77D60" w:rsidRPr="00997F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الله.</w:t>
      </w:r>
      <w:bookmarkStart w:id="0" w:name="_GoBack"/>
      <w:bookmarkEnd w:id="0"/>
    </w:p>
    <w:sectPr w:rsidR="00277D60" w:rsidRPr="00997FDC" w:rsidSect="002078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B82" w:rsidRDefault="005A6B82" w:rsidP="00277D60">
      <w:pPr>
        <w:spacing w:after="0" w:line="240" w:lineRule="auto"/>
      </w:pPr>
      <w:r>
        <w:separator/>
      </w:r>
    </w:p>
  </w:endnote>
  <w:endnote w:type="continuationSeparator" w:id="0">
    <w:p w:rsidR="005A6B82" w:rsidRDefault="005A6B82" w:rsidP="0027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B82" w:rsidRDefault="005A6B82" w:rsidP="00277D60">
      <w:pPr>
        <w:spacing w:after="0" w:line="240" w:lineRule="auto"/>
      </w:pPr>
      <w:r>
        <w:separator/>
      </w:r>
    </w:p>
  </w:footnote>
  <w:footnote w:type="continuationSeparator" w:id="0">
    <w:p w:rsidR="005A6B82" w:rsidRDefault="005A6B82" w:rsidP="00277D60">
      <w:pPr>
        <w:spacing w:after="0" w:line="240" w:lineRule="auto"/>
      </w:pPr>
      <w:r>
        <w:continuationSeparator/>
      </w:r>
    </w:p>
  </w:footnote>
  <w:footnote w:id="1">
    <w:p w:rsidR="00277D60" w:rsidRPr="00997FDC" w:rsidRDefault="00EC5585" w:rsidP="00997FDC">
      <w:pPr>
        <w:spacing w:before="20" w:after="20" w:line="240" w:lineRule="auto"/>
        <w:ind w:firstLine="26"/>
        <w:jc w:val="both"/>
        <w:rPr>
          <w:rFonts w:ascii="Traditional Arabic" w:hAnsi="Traditional Arabic" w:cs="Traditional Arabic"/>
          <w:sz w:val="28"/>
          <w:szCs w:val="28"/>
          <w:lang w:bidi="ar-EG"/>
        </w:rPr>
      </w:pPr>
      <w:r w:rsidRPr="00997FD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(</w:t>
      </w:r>
      <w:r w:rsidRPr="00997FDC">
        <w:rPr>
          <w:rFonts w:ascii="Traditional Arabic" w:hAnsi="Traditional Arabic" w:cs="Traditional Arabic"/>
          <w:sz w:val="28"/>
          <w:szCs w:val="28"/>
          <w:lang w:bidi="ar-EG"/>
        </w:rPr>
        <w:footnoteRef/>
      </w:r>
      <w:r w:rsidRPr="00997FD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)</w:t>
      </w:r>
      <w:r w:rsidR="00277D60" w:rsidRPr="00997FD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رواه البخاري</w:t>
      </w:r>
      <w:r w:rsidRPr="00997FD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،كتاب</w:t>
      </w:r>
      <w:r w:rsidR="00277D60" w:rsidRPr="00997FD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الاعتصام بالكتاب والسنة</w:t>
      </w:r>
      <w:r w:rsidRPr="00997FD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، </w:t>
      </w:r>
      <w:r w:rsidR="00277D60" w:rsidRPr="00997FD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باب قول النبي </w:t>
      </w:r>
      <w:r w:rsidR="00997FDC" w:rsidRPr="00997FD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صلى الله عليه وسلم: </w:t>
      </w:r>
      <w:r w:rsidRPr="00997FDC">
        <w:rPr>
          <w:rFonts w:cs="Traditional Arabic"/>
          <w:color w:val="002060"/>
          <w:sz w:val="28"/>
          <w:szCs w:val="28"/>
          <w:lang w:bidi="ar-EG"/>
        </w:rPr>
        <w:t>&gt;&gt;</w:t>
      </w:r>
      <w:r w:rsidR="00277D60" w:rsidRPr="00997FDC"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EG"/>
        </w:rPr>
        <w:t>لا تزال طائفة من أمتي ظاهرين على الحق يقاتلون</w:t>
      </w:r>
      <w:r w:rsidRPr="00997FDC">
        <w:rPr>
          <w:rFonts w:cs="Traditional Arabic"/>
          <w:color w:val="002060"/>
          <w:sz w:val="28"/>
          <w:szCs w:val="28"/>
          <w:lang w:bidi="ar-EG"/>
        </w:rPr>
        <w:t>&lt;&lt;</w:t>
      </w:r>
      <w:r w:rsidR="00277D60" w:rsidRPr="00997FD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، </w:t>
      </w:r>
      <w:r w:rsidRPr="00997FDC">
        <w:rPr>
          <w:rFonts w:ascii="Traditional Arabic" w:hAnsi="Traditional Arabic" w:cs="Traditional Arabic"/>
          <w:sz w:val="28"/>
          <w:szCs w:val="28"/>
          <w:lang w:bidi="ar-EG"/>
        </w:rPr>
        <w:t>)</w:t>
      </w:r>
      <w:r w:rsidR="00277D60" w:rsidRPr="00997FD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7312</w:t>
      </w:r>
      <w:r w:rsidRPr="00997FD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)</w:t>
      </w:r>
      <w:r w:rsidR="00277D60" w:rsidRPr="00997FD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.</w:t>
      </w:r>
    </w:p>
  </w:footnote>
  <w:footnote w:id="2">
    <w:p w:rsidR="00277D60" w:rsidRPr="00997FDC" w:rsidRDefault="00EC5585" w:rsidP="00EC5585">
      <w:pPr>
        <w:spacing w:before="20" w:after="20" w:line="240" w:lineRule="auto"/>
        <w:ind w:firstLine="26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997FD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(</w:t>
      </w:r>
      <w:r w:rsidRPr="00997FDC">
        <w:rPr>
          <w:rFonts w:ascii="Traditional Arabic" w:hAnsi="Traditional Arabic" w:cs="Traditional Arabic"/>
          <w:sz w:val="28"/>
          <w:szCs w:val="28"/>
          <w:lang w:bidi="ar-EG"/>
        </w:rPr>
        <w:footnoteRef/>
      </w:r>
      <w:r w:rsidRPr="00997FD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)</w:t>
      </w:r>
      <w:r w:rsidR="00277D60" w:rsidRPr="00997FD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الصواعق الإلهية لسليمان بن عبد الوهاب، ص</w:t>
      </w:r>
      <w:r w:rsidRPr="00997FD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(</w:t>
      </w:r>
      <w:r w:rsidR="00277D60" w:rsidRPr="00997FD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111</w:t>
      </w:r>
      <w:r w:rsidRPr="00997FD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)</w:t>
      </w:r>
      <w:r w:rsidR="00277D60" w:rsidRPr="00997FD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.</w:t>
      </w:r>
    </w:p>
  </w:footnote>
  <w:footnote w:id="3">
    <w:p w:rsidR="00277D60" w:rsidRPr="00997FDC" w:rsidRDefault="00EC5585" w:rsidP="00EC5585">
      <w:pPr>
        <w:spacing w:before="20" w:after="20" w:line="240" w:lineRule="auto"/>
        <w:ind w:firstLine="26"/>
        <w:jc w:val="both"/>
        <w:rPr>
          <w:rFonts w:ascii="Traditional Arabic" w:hAnsi="Traditional Arabic" w:cs="Traditional Arabic"/>
          <w:sz w:val="28"/>
          <w:szCs w:val="28"/>
          <w:lang w:bidi="ar-EG"/>
        </w:rPr>
      </w:pPr>
      <w:r w:rsidRPr="00997FD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(</w:t>
      </w:r>
      <w:r w:rsidRPr="00997FDC">
        <w:rPr>
          <w:rFonts w:ascii="Traditional Arabic" w:hAnsi="Traditional Arabic" w:cs="Traditional Arabic"/>
          <w:sz w:val="28"/>
          <w:szCs w:val="28"/>
          <w:lang w:bidi="ar-EG"/>
        </w:rPr>
        <w:footnoteRef/>
      </w:r>
      <w:r w:rsidRPr="00997FD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)</w:t>
      </w:r>
      <w:r w:rsidR="00277D60" w:rsidRPr="00997FD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فصل الخطاب في نقض مقالة ابن عبد الوهاب</w:t>
      </w:r>
      <w:r w:rsidRPr="00997FD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</w:t>
      </w:r>
      <w:r w:rsidR="00277D60" w:rsidRPr="00997FD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مخطوط ق13، نقلًا عن دعاوي المناوئين لدعوة الشيخ محمد بن عبد الوهاب لـ. د.عبد العزيز آل عبد اللطيف، ص</w:t>
      </w:r>
      <w:r w:rsidRPr="00997FD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(</w:t>
      </w:r>
      <w:r w:rsidR="00277D60" w:rsidRPr="00997FD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220</w:t>
      </w:r>
      <w:r w:rsidRPr="00997FD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)</w:t>
      </w:r>
      <w:r w:rsidR="00277D60" w:rsidRPr="00997FDC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4117D"/>
    <w:multiLevelType w:val="hybridMultilevel"/>
    <w:tmpl w:val="ADB8E624"/>
    <w:lvl w:ilvl="0" w:tplc="B866D79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D60"/>
    <w:rsid w:val="002078CA"/>
    <w:rsid w:val="00277D60"/>
    <w:rsid w:val="002A3955"/>
    <w:rsid w:val="00573180"/>
    <w:rsid w:val="005A6B82"/>
    <w:rsid w:val="006A191D"/>
    <w:rsid w:val="006E03AA"/>
    <w:rsid w:val="006E0B1F"/>
    <w:rsid w:val="0075758B"/>
    <w:rsid w:val="00997FDC"/>
    <w:rsid w:val="00B90056"/>
    <w:rsid w:val="00C531D1"/>
    <w:rsid w:val="00EC2012"/>
    <w:rsid w:val="00EC5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467CD0-E813-40A2-AEDA-75322DEA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7D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7D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7D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77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5B5A2-EE71-48A9-B64E-8F7E41C2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Amien</cp:lastModifiedBy>
  <cp:revision>8</cp:revision>
  <dcterms:created xsi:type="dcterms:W3CDTF">2016-03-02T15:41:00Z</dcterms:created>
  <dcterms:modified xsi:type="dcterms:W3CDTF">2016-05-29T11:26:00Z</dcterms:modified>
</cp:coreProperties>
</file>