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AB" w:rsidRPr="002A4022" w:rsidRDefault="005661AB" w:rsidP="002A4022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2A402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مدى صحة القول بأن النذر لغير الله محرم </w:t>
      </w:r>
      <w:r w:rsidR="00B53B6A" w:rsidRPr="002A402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دون الشرك</w:t>
      </w:r>
    </w:p>
    <w:p w:rsidR="0068019F" w:rsidRPr="002A4022" w:rsidRDefault="0068019F" w:rsidP="002A402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يستدل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المبتدعة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بنفي أن يكون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النذر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والذبح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لغير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شركًا، بل هو محرم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دون الشرك، وأن النذر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لغير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نذر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معصية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يجوز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الوفاء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به، وكذلك الذبح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لغير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تعالى، هو محرم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يصل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حد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الشرك.</w:t>
      </w:r>
      <w:bookmarkStart w:id="0" w:name="_GoBack"/>
      <w:bookmarkEnd w:id="0"/>
    </w:p>
    <w:p w:rsidR="0068019F" w:rsidRPr="002A4022" w:rsidRDefault="0068019F" w:rsidP="002A402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2A4022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5661AB" w:rsidRPr="002A4022" w:rsidRDefault="005661AB" w:rsidP="002A402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A402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تعالى: </w:t>
      </w:r>
      <w:r w:rsidR="0068019F" w:rsidRPr="002A4022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{قُلْ إِنَّ صَلَاتِي وَنُسُكِي وَمَحْيَايَ وَمَمَاتِي لِلَّهِ رَبِّ الْعَالَمِينَ (162) لَا شَرِيكَ لَهُ وَبِذَلِكَ أُمِرْتُ وَأَنَا أَوَّلُ الْمُسْلِمِينَ}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[الأنعام: 162، 163]، والن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س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الآية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بمعنى </w:t>
      </w:r>
      <w:proofErr w:type="gramStart"/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الذبح</w:t>
      </w:r>
      <w:r w:rsidRPr="002A402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proofErr w:type="gramEnd"/>
      <w:r w:rsidR="0068019F" w:rsidRPr="002A4022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Pr="002A402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661AB" w:rsidRPr="002A4022" w:rsidRDefault="005661AB" w:rsidP="002A402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A402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قال الإمام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محمد بن عبد الوهاب </w:t>
      </w:r>
      <w:proofErr w:type="gramStart"/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رحمه</w:t>
      </w:r>
      <w:proofErr w:type="gramEnd"/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ED4BD5" w:rsidRPr="002A4022">
        <w:rPr>
          <w:rFonts w:ascii="Traditional Arabic" w:hAnsi="Traditional Arabic" w:cs="Traditional Arabic"/>
          <w:sz w:val="32"/>
          <w:szCs w:val="32"/>
          <w:rtl/>
        </w:rPr>
        <w:t>«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فدليل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ك قوله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م إن النذر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لغير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حرام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بالإجماع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، فاستدللت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بقولهم حرام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أنه ليس بشرك، فإن كان هذا قدر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عقل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ك فكيف تد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ي المعرفة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؟ يا ويلك! ما تصنع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بقول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تعالى: </w:t>
      </w:r>
      <w:r w:rsidR="0068019F" w:rsidRPr="002A4022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{قُلْ تَعَالَوْا أَتْلُ مَا حَرَّمَ رَبُّكُمْ عَلَيْكُمْ أَلَّا تُشْرِكُوا بِهِ شَيْئًا وَبِالْوَالِدَيْنِ إِحْسَانًا}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[الأنعام: 151]، فهذا يدل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 الشرك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حرام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ليس بكفر؟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!</w:t>
      </w:r>
    </w:p>
    <w:p w:rsidR="005661AB" w:rsidRPr="002A4022" w:rsidRDefault="0068019F" w:rsidP="002A402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يا هذا الجاهل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الجهل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المركب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، ما تصنع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بقول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تعالى: </w:t>
      </w:r>
      <w:r w:rsidRPr="002A4022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{قُلْ إِنَّمَا حَرَّمَ رَبِّيَ الْفَوَاحِشَ مَا ظَهَرَ مِنْهَا وَمَا بَطَنَ}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[الأعراف: 33]، هل يدل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هذا التحريم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أنه لا يكفر صاحب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ه؟ يا ويلك! في أي كتاب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وجدت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ه إذا قيل لك هذا حرام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إنه ليس بكفر؟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!</w:t>
      </w:r>
    </w:p>
    <w:p w:rsidR="005661AB" w:rsidRPr="002A4022" w:rsidRDefault="0068019F" w:rsidP="002A402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فقول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ك: إن ظاهر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كلام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هم أنه ليس بكفر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كذب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وافتراء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أهل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العلم، بل ي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قال: ذكر أنه حرام، وأما كونه كفر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فيحتاج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دليل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آخر، والدليل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أنه صر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ح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(الإقناع) أن النذر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عبادة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، ومعلوم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(لا إله إلا الله) معناها: لا يعبد إلا الله، فإذا كان النذر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عبادة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، وجعل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ا لغير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 كيف لا يكون </w:t>
      </w:r>
      <w:proofErr w:type="gramStart"/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شركًا</w:t>
      </w:r>
      <w:r w:rsidR="00ED4BD5" w:rsidRPr="002A4022">
        <w:rPr>
          <w:rFonts w:ascii="Traditional Arabic" w:hAnsi="Traditional Arabic" w:cs="Traditional Arabic"/>
          <w:sz w:val="32"/>
          <w:szCs w:val="32"/>
          <w:rtl/>
        </w:rPr>
        <w:t>»</w:t>
      </w:r>
      <w:r w:rsidR="005661AB" w:rsidRPr="002A402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proofErr w:type="gramEnd"/>
      <w:r w:rsidRPr="002A4022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5661AB" w:rsidRPr="002A402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68019F" w:rsidRPr="002A4022" w:rsidRDefault="005661AB" w:rsidP="002A402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2A402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قال الشيخ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عبد اللطيف بن عبد الرحمن بن حسن </w:t>
      </w:r>
      <w:proofErr w:type="gramStart"/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رحمه</w:t>
      </w:r>
      <w:proofErr w:type="gramEnd"/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ED4BD5" w:rsidRPr="002A4022">
        <w:rPr>
          <w:rFonts w:ascii="Traditional Arabic" w:hAnsi="Traditional Arabic" w:cs="Traditional Arabic"/>
          <w:sz w:val="32"/>
          <w:szCs w:val="32"/>
          <w:rtl/>
        </w:rPr>
        <w:t>«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كلام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العلماء صريح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المنع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صرف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النذور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لرفع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القبور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وتشييد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ها، والبناء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عليها، وفرش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ها، وستر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ها، وإيقاد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عليها، وجعل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السدنة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لها، لما في ذلك من مضاهاة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اليهود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والنصارى والمشركين، وما تفعله عند أوثانها وأصنامها، وهذا م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68019F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عند الفقهاء فيما نعلم.</w:t>
      </w:r>
    </w:p>
    <w:p w:rsidR="0068019F" w:rsidRPr="002A4022" w:rsidRDefault="0068019F" w:rsidP="002A4022">
      <w:pPr>
        <w:pStyle w:val="a3"/>
        <w:spacing w:before="120" w:after="160" w:line="240" w:lineRule="auto"/>
        <w:ind w:left="0"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lastRenderedPageBreak/>
        <w:t>وأما النذر لها فهو نذر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معصية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باتفاق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العلماء، والمعصية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تصدق على العبادة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للمنذور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له،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ومعلوم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إخراجه على وجه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القربة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والتعظيم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لأهل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القبور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عبادة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لهم وشرك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، وتقر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غير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، وشرع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 يأذن به </w:t>
      </w:r>
      <w:proofErr w:type="gramStart"/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الله</w:t>
      </w:r>
      <w:r w:rsidR="005661AB"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ED4BD5" w:rsidRPr="002A4022">
        <w:rPr>
          <w:rFonts w:ascii="Traditional Arabic" w:hAnsi="Traditional Arabic" w:cs="Traditional Arabic"/>
          <w:sz w:val="32"/>
          <w:szCs w:val="32"/>
          <w:rtl/>
        </w:rPr>
        <w:t>»</w:t>
      </w:r>
      <w:r w:rsidR="005661AB" w:rsidRPr="002A402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proofErr w:type="gramEnd"/>
      <w:r w:rsidRPr="002A4022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="005661AB" w:rsidRPr="002A402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2A4022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ED5BCD" w:rsidRPr="002A4022" w:rsidRDefault="00ED5BCD" w:rsidP="002A402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ED5BCD" w:rsidRPr="002A4022" w:rsidSect="002A4022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C1" w:rsidRDefault="008938C1" w:rsidP="0068019F">
      <w:pPr>
        <w:spacing w:after="0" w:line="240" w:lineRule="auto"/>
      </w:pPr>
      <w:r>
        <w:separator/>
      </w:r>
    </w:p>
  </w:endnote>
  <w:endnote w:type="continuationSeparator" w:id="0">
    <w:p w:rsidR="008938C1" w:rsidRDefault="008938C1" w:rsidP="0068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C1" w:rsidRDefault="008938C1" w:rsidP="0068019F">
      <w:pPr>
        <w:spacing w:after="0" w:line="240" w:lineRule="auto"/>
      </w:pPr>
      <w:r>
        <w:separator/>
      </w:r>
    </w:p>
  </w:footnote>
  <w:footnote w:type="continuationSeparator" w:id="0">
    <w:p w:rsidR="008938C1" w:rsidRDefault="008938C1" w:rsidP="0068019F">
      <w:pPr>
        <w:spacing w:after="0" w:line="240" w:lineRule="auto"/>
      </w:pPr>
      <w:r>
        <w:continuationSeparator/>
      </w:r>
    </w:p>
  </w:footnote>
  <w:footnote w:id="1">
    <w:p w:rsidR="0068019F" w:rsidRPr="005661AB" w:rsidRDefault="005661AB" w:rsidP="005661AB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Pr="005661AB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</w:rPr>
        <w:t xml:space="preserve"> جامع البيان للطبري، 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</w:rPr>
        <w:t>5/8/112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</w:rPr>
        <w:t xml:space="preserve">، الجامع لأحكام القرآن للقرطبي، 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</w:rPr>
        <w:t>8/99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</w:rPr>
        <w:t xml:space="preserve">، تفسير القرآن العظيم لابن كثير، 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</w:rPr>
        <w:t>2/222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</w:rPr>
        <w:t>.</w:t>
      </w:r>
    </w:p>
  </w:footnote>
  <w:footnote w:id="2">
    <w:p w:rsidR="0068019F" w:rsidRPr="005661AB" w:rsidRDefault="005661AB" w:rsidP="005661AB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5661AB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مؤلفات الشيخ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-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الرسالئل الشخصية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-</w:t>
      </w:r>
      <w:r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الرسالة 34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  <w:lang w:bidi="ar-EG"/>
        </w:rPr>
        <w:t>1/232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3">
    <w:p w:rsidR="0068019F" w:rsidRPr="005661AB" w:rsidRDefault="005661AB" w:rsidP="005661AB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5661AB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  <w:lang w:bidi="ar-EG"/>
        </w:rPr>
        <w:t>منهاج التأسيس،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  <w:lang w:bidi="ar-EG"/>
        </w:rPr>
        <w:t>106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68019F" w:rsidRPr="005661AB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3CA"/>
    <w:multiLevelType w:val="hybridMultilevel"/>
    <w:tmpl w:val="05FCD3AA"/>
    <w:lvl w:ilvl="0" w:tplc="9FD05CD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19F"/>
    <w:rsid w:val="002078CA"/>
    <w:rsid w:val="002A4022"/>
    <w:rsid w:val="00340817"/>
    <w:rsid w:val="005661AB"/>
    <w:rsid w:val="00644CC5"/>
    <w:rsid w:val="0068019F"/>
    <w:rsid w:val="008938C1"/>
    <w:rsid w:val="009C1E23"/>
    <w:rsid w:val="00B53B6A"/>
    <w:rsid w:val="00ED4BD5"/>
    <w:rsid w:val="00ED5BCD"/>
    <w:rsid w:val="00EF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78FB08-3632-43AF-AEFD-109638DB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9F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68019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6801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80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8</cp:revision>
  <dcterms:created xsi:type="dcterms:W3CDTF">2016-03-01T13:24:00Z</dcterms:created>
  <dcterms:modified xsi:type="dcterms:W3CDTF">2016-06-08T12:06:00Z</dcterms:modified>
</cp:coreProperties>
</file>