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82" w:rsidRPr="00DC7E3C" w:rsidRDefault="000A4982" w:rsidP="00DC7E3C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DC7E3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الاستدلال بحديث ((إذا أَعْيَتْكُم الأمورُ فعليكُم بأصحابِ القبورِ))</w:t>
      </w:r>
    </w:p>
    <w:p w:rsidR="00E05241" w:rsidRPr="002B7703" w:rsidRDefault="00E05241" w:rsidP="00DC7E3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يستدل المبتدعة بجواز الاستغاثة والتوسل بأصحاب القبور</w:t>
      </w:r>
      <w:r w:rsidRPr="002B770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بحديث: </w:t>
      </w:r>
      <w:r w:rsidR="000A4982"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((</w:t>
      </w:r>
      <w:r w:rsidR="000A4982"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إذا</w:t>
      </w:r>
      <w:r w:rsidR="000A4982"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="000A4982"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أَعْيَتْكُم</w:t>
      </w:r>
      <w:r w:rsidR="000A4982"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="000A4982"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الأمورُ</w:t>
      </w:r>
      <w:r w:rsidR="000A4982"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="000A4982"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فعليكُم</w:t>
      </w:r>
      <w:r w:rsidR="000A4982"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="000A4982"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بأصحابِ</w:t>
      </w:r>
      <w:r w:rsidR="000A4982"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="000A4982"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القبورِ</w:t>
      </w:r>
      <w:r w:rsidR="000A4982"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))</w:t>
      </w:r>
      <w:r w:rsidRPr="002B770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وما كان في </w:t>
      </w:r>
      <w:proofErr w:type="gramStart"/>
      <w:r w:rsidRPr="002B770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معناه</w:t>
      </w:r>
      <w:r w:rsidR="000A4982" w:rsidRPr="000A4982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proofErr w:type="gramEnd"/>
      <w:r w:rsidRPr="000A4982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0A4982" w:rsidRPr="000A4982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2B770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E05241" w:rsidRPr="000A4982" w:rsidRDefault="00E05241" w:rsidP="00DC7E3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</w:pPr>
      <w:r w:rsidRPr="000A498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الرد:</w:t>
      </w:r>
    </w:p>
    <w:p w:rsidR="006C277D" w:rsidRDefault="006C277D" w:rsidP="00DC7E3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6C277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أولًا: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E05241" w:rsidRPr="006C27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هذا الحديث موضوع، لم ي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E05241" w:rsidRPr="006C27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رو في شيء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E05241" w:rsidRPr="006C27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ك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E05241" w:rsidRPr="006C27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تب السنة.</w:t>
      </w:r>
    </w:p>
    <w:p w:rsidR="006C277D" w:rsidRDefault="006C277D" w:rsidP="00DC7E3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6C277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ثانيًا: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قال شيخ الإسلام ابن تيمية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رحمه</w:t>
      </w:r>
      <w:proofErr w:type="gramEnd"/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 (وما يرويه بعض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الناس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أنه قال: 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(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(إذا تحيرت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ُ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م في الأمور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ِ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فاستعينوا بأهل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ِ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القبور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ِ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)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)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أو نحو هذا، فهو كلام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موضوع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مكذوب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باتفاق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العلماء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Pr="006C277D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E05241" w:rsidRPr="006C277D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6C277D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E05241" w:rsidRDefault="006C277D" w:rsidP="00DC7E3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6C277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ثالثًا: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وقال الإمام ابن القيم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رحمه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: (ومنها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أي مما أوقع عب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اد القبور في الافتتان بها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أحاديث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مكذوبة 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خ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ة وضعها أشباه عب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الأصنام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</w:t>
      </w:r>
      <w:proofErr w:type="spellStart"/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المقابرية</w:t>
      </w:r>
      <w:proofErr w:type="spellEnd"/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رسول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DC7E3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تناقض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دين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وما جاء به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كحديث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((</w:t>
      </w:r>
      <w:r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إذا</w:t>
      </w:r>
      <w:r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أَعْيَتْكُم</w:t>
      </w:r>
      <w:r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الأمورُ</w:t>
      </w:r>
      <w:r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فعليكُم</w:t>
      </w:r>
      <w:r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بأصحابِ</w:t>
      </w:r>
      <w:r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</w:t>
      </w:r>
      <w:r w:rsidRPr="000A4982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القبورِ</w:t>
      </w:r>
      <w:r w:rsidRPr="000A498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))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وحديث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(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(لو أحسن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أحد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ُ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كم ظن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َّ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ه بح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ج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ر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ٍ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ن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ف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ع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ه</w:t>
      </w:r>
      <w:r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)</w:t>
      </w:r>
      <w:r w:rsidR="00E05241" w:rsidRPr="006C277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)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وأمثال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هذه الأحاديث التي هي مناقضة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لدين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الإسلام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ض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ها المشركون، وراجت على أشباه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من الجه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الضل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بعث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رسول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ه </w:t>
      </w:r>
      <w:r w:rsidR="00DC7E3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يقتل من ح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ظن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بالأحجار، وج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أمته الفتنة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بالقبور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بكل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طريق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Pr="006C277D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E05241" w:rsidRPr="006C277D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6C277D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E0524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E05241" w:rsidRDefault="00E05241" w:rsidP="00DC7E3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5A7F30" w:rsidRDefault="005A7F30" w:rsidP="00DC7E3C">
      <w:pPr>
        <w:spacing w:before="120" w:after="160" w:line="240" w:lineRule="auto"/>
        <w:ind w:firstLine="227"/>
        <w:jc w:val="both"/>
        <w:rPr>
          <w:lang w:bidi="ar-EG"/>
        </w:rPr>
      </w:pPr>
      <w:bookmarkStart w:id="0" w:name="_GoBack"/>
      <w:bookmarkEnd w:id="0"/>
    </w:p>
    <w:sectPr w:rsidR="005A7F30" w:rsidSect="00DC7E3C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511" w:rsidRDefault="00975511" w:rsidP="00E05241">
      <w:pPr>
        <w:spacing w:after="0" w:line="240" w:lineRule="auto"/>
      </w:pPr>
      <w:r>
        <w:separator/>
      </w:r>
    </w:p>
  </w:endnote>
  <w:endnote w:type="continuationSeparator" w:id="0">
    <w:p w:rsidR="00975511" w:rsidRDefault="00975511" w:rsidP="00E0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511" w:rsidRDefault="00975511" w:rsidP="00E05241">
      <w:pPr>
        <w:spacing w:after="0" w:line="240" w:lineRule="auto"/>
      </w:pPr>
      <w:r>
        <w:separator/>
      </w:r>
    </w:p>
  </w:footnote>
  <w:footnote w:type="continuationSeparator" w:id="0">
    <w:p w:rsidR="00975511" w:rsidRDefault="00975511" w:rsidP="00E05241">
      <w:pPr>
        <w:spacing w:after="0" w:line="240" w:lineRule="auto"/>
      </w:pPr>
      <w:r>
        <w:continuationSeparator/>
      </w:r>
    </w:p>
  </w:footnote>
  <w:footnote w:id="1">
    <w:p w:rsidR="00E05241" w:rsidRPr="00DC7E3C" w:rsidRDefault="000A4982" w:rsidP="000A4982">
      <w:pPr>
        <w:pStyle w:val="a3"/>
        <w:jc w:val="both"/>
        <w:rPr>
          <w:rFonts w:cs="Traditional Arabic"/>
          <w:sz w:val="28"/>
          <w:szCs w:val="28"/>
          <w:rtl/>
          <w:lang w:bidi="ar-EG"/>
        </w:rPr>
      </w:pPr>
      <w:r w:rsidRPr="00DC7E3C">
        <w:rPr>
          <w:rFonts w:cs="Traditional Arabic" w:hint="cs"/>
          <w:sz w:val="28"/>
          <w:szCs w:val="28"/>
          <w:rtl/>
          <w:lang w:bidi="ar-EG"/>
        </w:rPr>
        <w:t>(</w:t>
      </w:r>
      <w:r w:rsidR="00E05241" w:rsidRPr="00DC7E3C">
        <w:rPr>
          <w:rStyle w:val="a4"/>
          <w:rFonts w:cs="Traditional Arabic"/>
          <w:sz w:val="28"/>
          <w:szCs w:val="28"/>
          <w:vertAlign w:val="baseline"/>
        </w:rPr>
        <w:footnoteRef/>
      </w:r>
      <w:r w:rsidRPr="00DC7E3C">
        <w:rPr>
          <w:rFonts w:cs="Traditional Arabic" w:hint="cs"/>
          <w:sz w:val="28"/>
          <w:szCs w:val="28"/>
          <w:rtl/>
          <w:lang w:bidi="ar-EG"/>
        </w:rPr>
        <w:t>)</w:t>
      </w:r>
      <w:r w:rsidR="00E05241" w:rsidRPr="00DC7E3C">
        <w:rPr>
          <w:rFonts w:cs="Traditional Arabic"/>
          <w:sz w:val="28"/>
          <w:szCs w:val="28"/>
          <w:rtl/>
        </w:rPr>
        <w:t xml:space="preserve"> 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>ذكره شيخ الإسلام ابن تيمية عنهم، انظر: الاستغاثة</w:t>
      </w:r>
      <w:r w:rsidRPr="00DC7E3C">
        <w:rPr>
          <w:rFonts w:cs="Traditional Arabic" w:hint="cs"/>
          <w:sz w:val="28"/>
          <w:szCs w:val="28"/>
          <w:rtl/>
          <w:lang w:bidi="ar-EG"/>
        </w:rPr>
        <w:t>،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 xml:space="preserve"> </w:t>
      </w:r>
      <w:r w:rsidRPr="00DC7E3C">
        <w:rPr>
          <w:rFonts w:cs="Traditional Arabic" w:hint="cs"/>
          <w:sz w:val="28"/>
          <w:szCs w:val="28"/>
          <w:rtl/>
          <w:lang w:bidi="ar-EG"/>
        </w:rPr>
        <w:t>(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>2/482</w:t>
      </w:r>
      <w:r w:rsidRPr="00DC7E3C">
        <w:rPr>
          <w:rFonts w:cs="Traditional Arabic" w:hint="cs"/>
          <w:sz w:val="28"/>
          <w:szCs w:val="28"/>
          <w:rtl/>
          <w:lang w:bidi="ar-EG"/>
        </w:rPr>
        <w:t>)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 xml:space="preserve">، اقتضاء الصراط المستقيم، </w:t>
      </w:r>
      <w:r w:rsidRPr="00DC7E3C">
        <w:rPr>
          <w:rFonts w:cs="Traditional Arabic" w:hint="cs"/>
          <w:sz w:val="28"/>
          <w:szCs w:val="28"/>
          <w:rtl/>
          <w:lang w:bidi="ar-EG"/>
        </w:rPr>
        <w:t>(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>2/196</w:t>
      </w:r>
      <w:r w:rsidRPr="00DC7E3C">
        <w:rPr>
          <w:rFonts w:cs="Traditional Arabic" w:hint="cs"/>
          <w:sz w:val="28"/>
          <w:szCs w:val="28"/>
          <w:rtl/>
          <w:lang w:bidi="ar-EG"/>
        </w:rPr>
        <w:t>)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>.</w:t>
      </w:r>
    </w:p>
  </w:footnote>
  <w:footnote w:id="2">
    <w:p w:rsidR="00E05241" w:rsidRPr="00DC7E3C" w:rsidRDefault="000A4982" w:rsidP="000A4982">
      <w:pPr>
        <w:pStyle w:val="a3"/>
        <w:jc w:val="both"/>
        <w:rPr>
          <w:rFonts w:cs="Traditional Arabic"/>
          <w:sz w:val="28"/>
          <w:szCs w:val="28"/>
          <w:lang w:bidi="ar-EG"/>
        </w:rPr>
      </w:pPr>
      <w:r w:rsidRPr="00DC7E3C">
        <w:rPr>
          <w:rFonts w:cs="Traditional Arabic" w:hint="cs"/>
          <w:sz w:val="28"/>
          <w:szCs w:val="28"/>
          <w:rtl/>
          <w:lang w:bidi="ar-EG"/>
        </w:rPr>
        <w:t>(</w:t>
      </w:r>
      <w:r w:rsidRPr="00DC7E3C">
        <w:rPr>
          <w:rStyle w:val="a4"/>
          <w:rFonts w:cs="Traditional Arabic"/>
          <w:sz w:val="28"/>
          <w:szCs w:val="28"/>
          <w:vertAlign w:val="baseline"/>
        </w:rPr>
        <w:footnoteRef/>
      </w:r>
      <w:r w:rsidRPr="00DC7E3C">
        <w:rPr>
          <w:rFonts w:cs="Traditional Arabic" w:hint="cs"/>
          <w:sz w:val="28"/>
          <w:szCs w:val="28"/>
          <w:rtl/>
          <w:lang w:bidi="ar-EG"/>
        </w:rPr>
        <w:t>)</w:t>
      </w:r>
      <w:r w:rsidR="00E05241" w:rsidRPr="00DC7E3C">
        <w:rPr>
          <w:rFonts w:cs="Traditional Arabic"/>
          <w:sz w:val="28"/>
          <w:szCs w:val="28"/>
          <w:rtl/>
        </w:rPr>
        <w:t xml:space="preserve"> 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>اقتضاء الصراط المستقيم،</w:t>
      </w:r>
      <w:r w:rsidRPr="00DC7E3C">
        <w:rPr>
          <w:rFonts w:cs="Traditional Arabic" w:hint="cs"/>
          <w:sz w:val="28"/>
          <w:szCs w:val="28"/>
          <w:rtl/>
          <w:lang w:bidi="ar-EG"/>
        </w:rPr>
        <w:t xml:space="preserve"> ابن تيمية،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 xml:space="preserve"> </w:t>
      </w:r>
      <w:r w:rsidRPr="00DC7E3C">
        <w:rPr>
          <w:rFonts w:cs="Traditional Arabic" w:hint="cs"/>
          <w:sz w:val="28"/>
          <w:szCs w:val="28"/>
          <w:rtl/>
          <w:lang w:bidi="ar-EG"/>
        </w:rPr>
        <w:t>(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>2/196</w:t>
      </w:r>
      <w:r w:rsidRPr="00DC7E3C">
        <w:rPr>
          <w:rFonts w:cs="Traditional Arabic" w:hint="cs"/>
          <w:sz w:val="28"/>
          <w:szCs w:val="28"/>
          <w:rtl/>
          <w:lang w:bidi="ar-EG"/>
        </w:rPr>
        <w:t>)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>.</w:t>
      </w:r>
    </w:p>
  </w:footnote>
  <w:footnote w:id="3">
    <w:p w:rsidR="00E05241" w:rsidRPr="00DC7E3C" w:rsidRDefault="000A4982" w:rsidP="000A4982">
      <w:pPr>
        <w:pStyle w:val="a3"/>
        <w:jc w:val="both"/>
        <w:rPr>
          <w:rFonts w:cs="Traditional Arabic"/>
          <w:sz w:val="28"/>
          <w:szCs w:val="28"/>
          <w:rtl/>
          <w:lang w:bidi="ar-EG"/>
        </w:rPr>
      </w:pPr>
      <w:r w:rsidRPr="00DC7E3C">
        <w:rPr>
          <w:rFonts w:cs="Traditional Arabic" w:hint="cs"/>
          <w:sz w:val="28"/>
          <w:szCs w:val="28"/>
          <w:rtl/>
          <w:lang w:bidi="ar-EG"/>
        </w:rPr>
        <w:t>(</w:t>
      </w:r>
      <w:r w:rsidRPr="00DC7E3C">
        <w:rPr>
          <w:rStyle w:val="a4"/>
          <w:rFonts w:cs="Traditional Arabic"/>
          <w:sz w:val="28"/>
          <w:szCs w:val="28"/>
          <w:vertAlign w:val="baseline"/>
        </w:rPr>
        <w:footnoteRef/>
      </w:r>
      <w:r w:rsidRPr="00DC7E3C">
        <w:rPr>
          <w:rFonts w:cs="Traditional Arabic" w:hint="cs"/>
          <w:sz w:val="28"/>
          <w:szCs w:val="28"/>
          <w:rtl/>
          <w:lang w:bidi="ar-EG"/>
        </w:rPr>
        <w:t>)</w:t>
      </w:r>
      <w:r w:rsidR="00E05241" w:rsidRPr="00DC7E3C">
        <w:rPr>
          <w:rFonts w:cs="Traditional Arabic"/>
          <w:sz w:val="28"/>
          <w:szCs w:val="28"/>
          <w:rtl/>
        </w:rPr>
        <w:t xml:space="preserve"> 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>إغاثة اللهفان،</w:t>
      </w:r>
      <w:r w:rsidRPr="00DC7E3C">
        <w:rPr>
          <w:rFonts w:cs="Traditional Arabic" w:hint="cs"/>
          <w:sz w:val="28"/>
          <w:szCs w:val="28"/>
          <w:rtl/>
          <w:lang w:bidi="ar-EG"/>
        </w:rPr>
        <w:t xml:space="preserve"> ابن القيم،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 xml:space="preserve"> </w:t>
      </w:r>
      <w:r w:rsidRPr="00DC7E3C">
        <w:rPr>
          <w:rFonts w:cs="Traditional Arabic" w:hint="cs"/>
          <w:sz w:val="28"/>
          <w:szCs w:val="28"/>
          <w:rtl/>
          <w:lang w:bidi="ar-EG"/>
        </w:rPr>
        <w:t>(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>1/215</w:t>
      </w:r>
      <w:r w:rsidRPr="00DC7E3C">
        <w:rPr>
          <w:rFonts w:cs="Traditional Arabic" w:hint="cs"/>
          <w:sz w:val="28"/>
          <w:szCs w:val="28"/>
          <w:rtl/>
          <w:lang w:bidi="ar-EG"/>
        </w:rPr>
        <w:t>)</w:t>
      </w:r>
      <w:r w:rsidR="00E05241" w:rsidRPr="00DC7E3C">
        <w:rPr>
          <w:rFonts w:cs="Traditional Arabic" w:hint="cs"/>
          <w:sz w:val="28"/>
          <w:szCs w:val="28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36FCE"/>
    <w:multiLevelType w:val="hybridMultilevel"/>
    <w:tmpl w:val="02108766"/>
    <w:lvl w:ilvl="0" w:tplc="794615D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241"/>
    <w:rsid w:val="000A4982"/>
    <w:rsid w:val="001055D9"/>
    <w:rsid w:val="002078CA"/>
    <w:rsid w:val="005A7F30"/>
    <w:rsid w:val="006C277D"/>
    <w:rsid w:val="00975511"/>
    <w:rsid w:val="00A752E4"/>
    <w:rsid w:val="00AA7EBA"/>
    <w:rsid w:val="00DC7E3C"/>
    <w:rsid w:val="00E0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F1FBC7-2ED1-4ABC-A4AC-CBE1848F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0524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0524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05241"/>
    <w:rPr>
      <w:vertAlign w:val="superscript"/>
    </w:rPr>
  </w:style>
  <w:style w:type="paragraph" w:styleId="a5">
    <w:name w:val="List Paragraph"/>
    <w:basedOn w:val="a"/>
    <w:uiPriority w:val="34"/>
    <w:qFormat/>
    <w:rsid w:val="00E05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4</cp:revision>
  <dcterms:created xsi:type="dcterms:W3CDTF">2016-03-01T13:20:00Z</dcterms:created>
  <dcterms:modified xsi:type="dcterms:W3CDTF">2016-06-11T23:32:00Z</dcterms:modified>
</cp:coreProperties>
</file>