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9F4" w:rsidRPr="0074006D" w:rsidRDefault="0074006D" w:rsidP="0074006D">
      <w:pPr>
        <w:spacing w:before="120" w:after="160" w:line="240" w:lineRule="auto"/>
        <w:ind w:firstLine="227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74006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شبهة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الاستدلال على الاستغاثة</w:t>
      </w:r>
      <w:r w:rsidRPr="0074006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بالنبي ب</w:t>
      </w:r>
      <w:r w:rsidR="00C009F4" w:rsidRPr="0074006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القصص التي فيها الانتفاع بزيارة قبر</w:t>
      </w:r>
      <w:r w:rsidRPr="0074006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ه</w:t>
      </w:r>
      <w:bookmarkStart w:id="0" w:name="_GoBack"/>
      <w:bookmarkEnd w:id="0"/>
    </w:p>
    <w:p w:rsidR="00BA0CA6" w:rsidRPr="0074006D" w:rsidRDefault="00BA0CA6" w:rsidP="0074006D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يستدل</w:t>
      </w:r>
      <w:r w:rsidR="00C009F4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ُّ</w:t>
      </w:r>
      <w:r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المبتدعة على جواز الاستغاثة بالنبي </w:t>
      </w:r>
      <w:r w:rsidR="0074006D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صلى الله عليه وسلم</w:t>
      </w:r>
      <w:r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بالقصص التي يكون فيها انتفاع من يأتي إلى قبره </w:t>
      </w:r>
      <w:r w:rsidR="0074006D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صلى الله عليه وسلم</w:t>
      </w:r>
      <w:r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ويستغيث به </w:t>
      </w:r>
      <w:r w:rsidR="0074006D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صلى الله عليه وسلم</w:t>
      </w:r>
      <w:r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 ويذكرون من ذلك قصص</w:t>
      </w:r>
      <w:r w:rsidR="00C009F4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ً</w:t>
      </w:r>
      <w:r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 كثيرة، ويجعلونها من أوضح الأدلة على مشروع</w:t>
      </w:r>
      <w:r w:rsidR="00C009F4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</w:t>
      </w:r>
      <w:r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ة الاستغاثة به، وأنها من أعظم القرب، بل وأنها سبب</w:t>
      </w:r>
      <w:r w:rsidR="00C009F4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ٌ</w:t>
      </w:r>
      <w:r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لقضاء الحاجات لا تتخلف عنه.</w:t>
      </w:r>
    </w:p>
    <w:p w:rsidR="00BA0CA6" w:rsidRPr="0074006D" w:rsidRDefault="00BA0CA6" w:rsidP="0074006D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ومن ذلك ما قاله النبهاني: (وقد صار</w:t>
      </w:r>
      <w:r w:rsidR="00C009F4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من المجر</w:t>
      </w:r>
      <w:r w:rsidR="00C009F4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ب</w:t>
      </w:r>
      <w:r w:rsidR="00C009F4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ات أن من استغاث</w:t>
      </w:r>
      <w:r w:rsidR="00C009F4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به </w:t>
      </w:r>
      <w:r w:rsidR="0074006D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صلى الله عليه وسلم</w:t>
      </w:r>
      <w:r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إلى الله</w:t>
      </w:r>
      <w:r w:rsidR="00C009F4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بإخلاص</w:t>
      </w:r>
      <w:r w:rsidR="00C009F4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ٍ</w:t>
      </w:r>
      <w:r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وصدق</w:t>
      </w:r>
      <w:r w:rsidR="00C009F4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ٍ</w:t>
      </w:r>
      <w:r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C009F4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</w:t>
      </w:r>
      <w:r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التجاء ت</w:t>
      </w:r>
      <w:r w:rsidR="00C009F4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قضى حاجت</w:t>
      </w:r>
      <w:r w:rsidR="00C009F4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ه مهما </w:t>
      </w:r>
      <w:proofErr w:type="gramStart"/>
      <w:r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كانت)</w:t>
      </w:r>
      <w:r w:rsidR="0008328B" w:rsidRPr="0074006D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proofErr w:type="gramEnd"/>
      <w:r w:rsidRPr="0074006D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1"/>
      </w:r>
      <w:r w:rsidR="0008328B" w:rsidRPr="0074006D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p w:rsidR="00BA0CA6" w:rsidRPr="0074006D" w:rsidRDefault="00BA0CA6" w:rsidP="0074006D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EG"/>
        </w:rPr>
      </w:pPr>
      <w:r w:rsidRPr="0074006D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u w:val="single"/>
          <w:rtl/>
          <w:lang w:bidi="ar-EG"/>
        </w:rPr>
        <w:t>الرد:</w:t>
      </w:r>
    </w:p>
    <w:p w:rsidR="0008328B" w:rsidRPr="0074006D" w:rsidRDefault="0008328B" w:rsidP="0074006D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74006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>أولًا:</w:t>
      </w:r>
      <w:r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النصوص</w:t>
      </w:r>
      <w:r w:rsidR="00C009F4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الثابتة الواردة عن نهي النبي </w:t>
      </w:r>
      <w:r w:rsidR="0074006D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صلى الله عليه وسلم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أن ي</w:t>
      </w:r>
      <w:r w:rsidR="008C521A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تخذ قبر</w:t>
      </w:r>
      <w:r w:rsidR="008C521A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 عيدًا، وأنه قد لعن الذين يتخذون قبور</w:t>
      </w:r>
      <w:r w:rsidR="008C521A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الأنب</w:t>
      </w:r>
      <w:r w:rsidR="008C521A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ياء مساجد؛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قال </w:t>
      </w:r>
      <w:r w:rsidR="0074006D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صلى الله عليه وسلم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: </w:t>
      </w:r>
      <w:r w:rsidR="008C521A" w:rsidRPr="0074006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(</w:t>
      </w:r>
      <w:r w:rsidR="00BA0CA6" w:rsidRPr="0074006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(لعنة</w:t>
      </w:r>
      <w:r w:rsidR="008C521A" w:rsidRPr="0074006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ُ</w:t>
      </w:r>
      <w:r w:rsidR="00BA0CA6" w:rsidRPr="0074006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 xml:space="preserve"> الله</w:t>
      </w:r>
      <w:r w:rsidR="008C521A" w:rsidRPr="0074006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ِ</w:t>
      </w:r>
      <w:r w:rsidR="00BA0CA6" w:rsidRPr="0074006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 xml:space="preserve"> على اليهود</w:t>
      </w:r>
      <w:r w:rsidR="008C521A" w:rsidRPr="0074006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ِ</w:t>
      </w:r>
      <w:r w:rsidR="00BA0CA6" w:rsidRPr="0074006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 xml:space="preserve"> والنصارى اتخذوا قبور</w:t>
      </w:r>
      <w:r w:rsidR="008C521A" w:rsidRPr="0074006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َ</w:t>
      </w:r>
      <w:r w:rsidR="00BA0CA6" w:rsidRPr="0074006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 xml:space="preserve"> أنبيائ</w:t>
      </w:r>
      <w:r w:rsidR="008C521A" w:rsidRPr="0074006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ِهم مساجد</w:t>
      </w:r>
      <w:proofErr w:type="gramStart"/>
      <w:r w:rsidR="00BA0CA6" w:rsidRPr="0074006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)</w:t>
      </w:r>
      <w:r w:rsidR="008C521A" w:rsidRPr="0074006D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)</w:t>
      </w:r>
      <w:r w:rsidRPr="0074006D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proofErr w:type="gramEnd"/>
      <w:r w:rsidR="00BA0CA6" w:rsidRPr="0074006D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2"/>
      </w:r>
      <w:r w:rsidRPr="0074006D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، قال تعالى: </w:t>
      </w:r>
      <w:r w:rsidR="00BA0CA6" w:rsidRPr="0074006D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>{</w:t>
      </w:r>
      <w:r w:rsidR="00BA0CA6" w:rsidRPr="0074006D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وَمَنْ</w:t>
      </w:r>
      <w:r w:rsidR="00BA0CA6" w:rsidRPr="0074006D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BA0CA6" w:rsidRPr="0074006D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أَضَلُّ</w:t>
      </w:r>
      <w:r w:rsidR="00BA0CA6" w:rsidRPr="0074006D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BA0CA6" w:rsidRPr="0074006D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مِمَّنْ</w:t>
      </w:r>
      <w:r w:rsidR="00BA0CA6" w:rsidRPr="0074006D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BA0CA6" w:rsidRPr="0074006D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يَدْعُو</w:t>
      </w:r>
      <w:r w:rsidR="00BA0CA6" w:rsidRPr="0074006D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BA0CA6" w:rsidRPr="0074006D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مِنْ</w:t>
      </w:r>
      <w:r w:rsidR="00BA0CA6" w:rsidRPr="0074006D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BA0CA6" w:rsidRPr="0074006D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دُونِ</w:t>
      </w:r>
      <w:r w:rsidR="00BA0CA6" w:rsidRPr="0074006D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BA0CA6" w:rsidRPr="0074006D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اللَّهِ</w:t>
      </w:r>
      <w:r w:rsidR="00BA0CA6" w:rsidRPr="0074006D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BA0CA6" w:rsidRPr="0074006D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مَنْ</w:t>
      </w:r>
      <w:r w:rsidR="00BA0CA6" w:rsidRPr="0074006D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BA0CA6" w:rsidRPr="0074006D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لَا</w:t>
      </w:r>
      <w:r w:rsidR="00BA0CA6" w:rsidRPr="0074006D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BA0CA6" w:rsidRPr="0074006D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يَسْتَجِيبُ</w:t>
      </w:r>
      <w:r w:rsidR="00BA0CA6" w:rsidRPr="0074006D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BA0CA6" w:rsidRPr="0074006D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لَهُ</w:t>
      </w:r>
      <w:r w:rsidR="00BA0CA6" w:rsidRPr="0074006D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BA0CA6" w:rsidRPr="0074006D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إِلَى</w:t>
      </w:r>
      <w:r w:rsidR="00BA0CA6" w:rsidRPr="0074006D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BA0CA6" w:rsidRPr="0074006D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يَوْمِ</w:t>
      </w:r>
      <w:r w:rsidR="00BA0CA6" w:rsidRPr="0074006D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BA0CA6" w:rsidRPr="0074006D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الْقِيَامَةِ</w:t>
      </w:r>
      <w:r w:rsidR="00BA0CA6" w:rsidRPr="0074006D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BA0CA6" w:rsidRPr="0074006D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وَهُمْ</w:t>
      </w:r>
      <w:r w:rsidR="00BA0CA6" w:rsidRPr="0074006D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BA0CA6" w:rsidRPr="0074006D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عَنْ</w:t>
      </w:r>
      <w:r w:rsidR="00BA0CA6" w:rsidRPr="0074006D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BA0CA6" w:rsidRPr="0074006D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دُعَائِهِمْ</w:t>
      </w:r>
      <w:r w:rsidR="00BA0CA6" w:rsidRPr="0074006D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BA0CA6" w:rsidRPr="0074006D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غَافِلُونَ</w:t>
      </w:r>
      <w:r w:rsidR="00BA0CA6" w:rsidRPr="0074006D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}</w:t>
      </w:r>
      <w:r w:rsidR="00BA0CA6" w:rsidRPr="0074006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[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الأحقاف</w:t>
      </w:r>
      <w:r w:rsidR="00BA0CA6" w:rsidRPr="0074006D">
        <w:rPr>
          <w:rFonts w:ascii="Traditional Arabic" w:hAnsi="Traditional Arabic" w:cs="Traditional Arabic"/>
          <w:sz w:val="32"/>
          <w:szCs w:val="32"/>
          <w:rtl/>
          <w:lang w:bidi="ar-EG"/>
        </w:rPr>
        <w:t>: 5]</w:t>
      </w:r>
      <w:r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p w:rsidR="0008328B" w:rsidRPr="0074006D" w:rsidRDefault="0008328B" w:rsidP="0074006D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74006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>ثانيًا:</w:t>
      </w:r>
      <w:r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ليس معنى استجابة الدعاء عند قبر النبي </w:t>
      </w:r>
      <w:r w:rsidR="0074006D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صلى الله عليه وسلم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أنها دليل على جواز الاستغاثة به </w:t>
      </w:r>
      <w:r w:rsidR="0074006D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صلى الله عليه وسلم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، قال شيخ الإسلام ابن تيمية </w:t>
      </w:r>
      <w:r w:rsidR="008C521A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- 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رحمه الله</w:t>
      </w:r>
      <w:r w:rsidR="008C521A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-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: (وأما إجابة</w:t>
      </w:r>
      <w:r w:rsidR="008C521A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الدعاء</w:t>
      </w:r>
      <w:r w:rsidR="008C521A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فقد يكون سبب</w:t>
      </w:r>
      <w:r w:rsidR="008C521A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 اضطرار</w:t>
      </w:r>
      <w:r w:rsidR="008C521A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الداعي وصدق</w:t>
      </w:r>
      <w:r w:rsidR="008C521A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التجائ</w:t>
      </w:r>
      <w:r w:rsidR="008C521A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ه، وقد يكون سبب</w:t>
      </w:r>
      <w:r w:rsidR="008C521A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 مجرد</w:t>
      </w:r>
      <w:r w:rsidR="008C521A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رحم</w:t>
      </w:r>
      <w:r w:rsidR="008C521A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ةِ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الله</w:t>
      </w:r>
      <w:r w:rsidR="008C521A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له، وقد يكون أمرًا قضاه الله</w:t>
      </w:r>
      <w:r w:rsidR="008C521A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لا لأجل</w:t>
      </w:r>
      <w:r w:rsidR="008C521A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دعائ</w:t>
      </w:r>
      <w:r w:rsidR="008C521A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ه،</w:t>
      </w:r>
      <w:r w:rsidR="008C521A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... فإنا نعلم</w:t>
      </w:r>
      <w:r w:rsidR="008C521A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أن الكفار</w:t>
      </w:r>
      <w:r w:rsidR="008C521A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قد ي</w:t>
      </w:r>
      <w:r w:rsidR="008C521A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ستجاب لهم في</w:t>
      </w:r>
      <w:r w:rsidR="008C521A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سقون وي</w:t>
      </w:r>
      <w:r w:rsidR="008C521A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نصرون وي</w:t>
      </w:r>
      <w:r w:rsidR="008C521A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عافون وي</w:t>
      </w:r>
      <w:r w:rsidR="008C521A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رزقون مع دعائ</w:t>
      </w:r>
      <w:r w:rsidR="008C521A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هم عند أوثان</w:t>
      </w:r>
      <w:r w:rsidR="008C521A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هم و</w:t>
      </w:r>
      <w:r w:rsidR="008C521A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ت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وسلهم بها</w:t>
      </w:r>
      <w:r w:rsidR="008C521A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؛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قال تعالى: </w:t>
      </w:r>
      <w:r w:rsidR="00BA0CA6" w:rsidRPr="0074006D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>{</w:t>
      </w:r>
      <w:r w:rsidR="00BA0CA6" w:rsidRPr="0074006D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كُلًّا</w:t>
      </w:r>
      <w:r w:rsidR="00BA0CA6" w:rsidRPr="0074006D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BA0CA6" w:rsidRPr="0074006D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نُمِدُّ</w:t>
      </w:r>
      <w:r w:rsidR="00BA0CA6" w:rsidRPr="0074006D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BA0CA6" w:rsidRPr="0074006D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هَؤُلَاءِ</w:t>
      </w:r>
      <w:r w:rsidR="00BA0CA6" w:rsidRPr="0074006D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BA0CA6" w:rsidRPr="0074006D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وَهَؤُلَاءِ</w:t>
      </w:r>
      <w:r w:rsidR="00BA0CA6" w:rsidRPr="0074006D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BA0CA6" w:rsidRPr="0074006D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مِنْ</w:t>
      </w:r>
      <w:r w:rsidR="00BA0CA6" w:rsidRPr="0074006D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BA0CA6" w:rsidRPr="0074006D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عَطَاءِ</w:t>
      </w:r>
      <w:r w:rsidR="00BA0CA6" w:rsidRPr="0074006D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BA0CA6" w:rsidRPr="0074006D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رَبِّكَ</w:t>
      </w:r>
      <w:r w:rsidR="00BA0CA6" w:rsidRPr="0074006D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BA0CA6" w:rsidRPr="0074006D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وَمَا</w:t>
      </w:r>
      <w:r w:rsidR="00BA0CA6" w:rsidRPr="0074006D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BA0CA6" w:rsidRPr="0074006D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كَانَ</w:t>
      </w:r>
      <w:r w:rsidR="00BA0CA6" w:rsidRPr="0074006D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BA0CA6" w:rsidRPr="0074006D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عَطَاءُ</w:t>
      </w:r>
      <w:r w:rsidR="00BA0CA6" w:rsidRPr="0074006D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BA0CA6" w:rsidRPr="0074006D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رَبِّكَ</w:t>
      </w:r>
      <w:r w:rsidR="00BA0CA6" w:rsidRPr="0074006D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="00BA0CA6" w:rsidRPr="0074006D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مَحْظُورًا</w:t>
      </w:r>
      <w:r w:rsidR="00BA0CA6" w:rsidRPr="0074006D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>}</w:t>
      </w:r>
      <w:r w:rsidR="00BA0CA6" w:rsidRPr="0074006D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[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الإسراء</w:t>
      </w:r>
      <w:r w:rsidR="00BA0CA6" w:rsidRPr="0074006D">
        <w:rPr>
          <w:rFonts w:ascii="Traditional Arabic" w:hAnsi="Traditional Arabic" w:cs="Traditional Arabic"/>
          <w:sz w:val="32"/>
          <w:szCs w:val="32"/>
          <w:rtl/>
          <w:lang w:bidi="ar-EG"/>
        </w:rPr>
        <w:t>: 20]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)</w:t>
      </w:r>
      <w:r w:rsidRPr="0074006D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r w:rsidR="00BA0CA6" w:rsidRPr="0074006D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3"/>
      </w:r>
      <w:r w:rsidRPr="0074006D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p w:rsidR="00BA0CA6" w:rsidRPr="0074006D" w:rsidRDefault="0008328B" w:rsidP="0074006D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74006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>ثالثًا:</w:t>
      </w:r>
      <w:r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الناظر لتلك القصص لا يجد فيها مروي صحيح عن الصحابة </w:t>
      </w:r>
      <w:r w:rsid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رضي الله عنهم</w:t>
      </w:r>
      <w:r w:rsidR="00BA0CA6" w:rsidRPr="0074006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 بل ولا عن أحد من سلف الأمة الأبرار المعروفين.</w:t>
      </w:r>
    </w:p>
    <w:p w:rsidR="004F4871" w:rsidRPr="0074006D" w:rsidRDefault="004F4871" w:rsidP="0074006D">
      <w:pPr>
        <w:spacing w:before="120" w:after="160" w:line="240" w:lineRule="auto"/>
        <w:ind w:firstLine="227"/>
        <w:jc w:val="lowKashida"/>
        <w:rPr>
          <w:sz w:val="32"/>
          <w:szCs w:val="32"/>
          <w:lang w:bidi="ar-EG"/>
        </w:rPr>
      </w:pPr>
    </w:p>
    <w:sectPr w:rsidR="004F4871" w:rsidRPr="0074006D" w:rsidSect="00073CEC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0DF" w:rsidRDefault="00AA60DF" w:rsidP="00BA0CA6">
      <w:pPr>
        <w:spacing w:after="0" w:line="240" w:lineRule="auto"/>
      </w:pPr>
      <w:r>
        <w:separator/>
      </w:r>
    </w:p>
  </w:endnote>
  <w:endnote w:type="continuationSeparator" w:id="0">
    <w:p w:rsidR="00AA60DF" w:rsidRDefault="00AA60DF" w:rsidP="00BA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0DF" w:rsidRDefault="00AA60DF" w:rsidP="00BA0CA6">
      <w:pPr>
        <w:spacing w:after="0" w:line="240" w:lineRule="auto"/>
      </w:pPr>
      <w:r>
        <w:separator/>
      </w:r>
    </w:p>
  </w:footnote>
  <w:footnote w:type="continuationSeparator" w:id="0">
    <w:p w:rsidR="00AA60DF" w:rsidRDefault="00AA60DF" w:rsidP="00BA0CA6">
      <w:pPr>
        <w:spacing w:after="0" w:line="240" w:lineRule="auto"/>
      </w:pPr>
      <w:r>
        <w:continuationSeparator/>
      </w:r>
    </w:p>
  </w:footnote>
  <w:footnote w:id="1">
    <w:p w:rsidR="00BA0CA6" w:rsidRPr="00955899" w:rsidRDefault="00A01926" w:rsidP="00955899">
      <w:pPr>
        <w:pStyle w:val="a4"/>
        <w:jc w:val="both"/>
        <w:rPr>
          <w:rFonts w:ascii="Traditional Arabic" w:hAnsi="Traditional Arabic" w:cs="Traditional Arabic"/>
          <w:sz w:val="24"/>
          <w:szCs w:val="24"/>
          <w:lang w:bidi="ar-EG"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BA0CA6" w:rsidRPr="00955899">
        <w:rPr>
          <w:rStyle w:val="a5"/>
          <w:rFonts w:ascii="Traditional Arabic" w:hAnsi="Traditional Arabic" w:cs="Traditional Arabic"/>
          <w:sz w:val="24"/>
          <w:szCs w:val="24"/>
          <w:vertAlign w:val="baseline"/>
        </w:rPr>
        <w:footnoteRef/>
      </w:r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BA0CA6" w:rsidRPr="00955899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BA0CA6" w:rsidRPr="00955899">
        <w:rPr>
          <w:rFonts w:ascii="Traditional Arabic" w:hAnsi="Traditional Arabic" w:cs="Traditional Arabic"/>
          <w:sz w:val="24"/>
          <w:szCs w:val="24"/>
          <w:rtl/>
          <w:lang w:bidi="ar-EG"/>
        </w:rPr>
        <w:t>حجة الله على العالمين،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 xml:space="preserve"> يوسف النبهاني،</w:t>
      </w:r>
      <w:r w:rsidR="00BA0CA6" w:rsidRPr="00955899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ص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BA0CA6" w:rsidRPr="00955899">
        <w:rPr>
          <w:rFonts w:ascii="Traditional Arabic" w:hAnsi="Traditional Arabic" w:cs="Traditional Arabic"/>
          <w:sz w:val="24"/>
          <w:szCs w:val="24"/>
          <w:rtl/>
          <w:lang w:bidi="ar-EG"/>
        </w:rPr>
        <w:t>814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BA0CA6" w:rsidRPr="00955899">
        <w:rPr>
          <w:rFonts w:ascii="Traditional Arabic" w:hAnsi="Traditional Arabic" w:cs="Traditional Arabic"/>
          <w:sz w:val="24"/>
          <w:szCs w:val="24"/>
          <w:rtl/>
          <w:lang w:bidi="ar-EG"/>
        </w:rPr>
        <w:t>.</w:t>
      </w:r>
    </w:p>
  </w:footnote>
  <w:footnote w:id="2">
    <w:p w:rsidR="00BA0CA6" w:rsidRPr="00955899" w:rsidRDefault="00A01926" w:rsidP="00A01926">
      <w:pPr>
        <w:pStyle w:val="a4"/>
        <w:jc w:val="both"/>
        <w:rPr>
          <w:rFonts w:ascii="Traditional Arabic" w:hAnsi="Traditional Arabic" w:cs="Traditional Arabic"/>
          <w:sz w:val="24"/>
          <w:szCs w:val="24"/>
          <w:lang w:bidi="ar-EG"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BA0CA6" w:rsidRPr="00955899">
        <w:rPr>
          <w:rStyle w:val="a5"/>
          <w:rFonts w:ascii="Traditional Arabic" w:hAnsi="Traditional Arabic" w:cs="Traditional Arabic"/>
          <w:sz w:val="24"/>
          <w:szCs w:val="24"/>
          <w:vertAlign w:val="baseline"/>
        </w:rPr>
        <w:footnoteRef/>
      </w:r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BA0CA6" w:rsidRPr="00955899">
        <w:rPr>
          <w:rFonts w:ascii="Traditional Arabic" w:hAnsi="Traditional Arabic" w:cs="Traditional Arabic"/>
          <w:sz w:val="24"/>
          <w:szCs w:val="24"/>
          <w:rtl/>
        </w:rPr>
        <w:t xml:space="preserve"> رواه البخاري</w:t>
      </w:r>
      <w:r w:rsidR="00BA0CA6" w:rsidRPr="00955899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 xml:space="preserve">، كتاب الصلاة، باب الصلاة في البيعة، </w:t>
      </w:r>
      <w:proofErr w:type="gramStart"/>
      <w:r w:rsidR="00BA0CA6" w:rsidRPr="00955899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( 435</w:t>
      </w:r>
      <w:proofErr w:type="gramEnd"/>
      <w:r w:rsidR="00BA0CA6" w:rsidRPr="00955899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).</w:t>
      </w:r>
    </w:p>
  </w:footnote>
  <w:footnote w:id="3">
    <w:p w:rsidR="00BA0CA6" w:rsidRPr="00955899" w:rsidRDefault="00A01926" w:rsidP="00A01926">
      <w:pPr>
        <w:pStyle w:val="a4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BA0CA6" w:rsidRPr="00955899">
        <w:rPr>
          <w:rStyle w:val="a5"/>
          <w:rFonts w:ascii="Traditional Arabic" w:hAnsi="Traditional Arabic" w:cs="Traditional Arabic"/>
          <w:sz w:val="24"/>
          <w:szCs w:val="24"/>
          <w:vertAlign w:val="baseline"/>
        </w:rPr>
        <w:footnoteRef/>
      </w:r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BA0CA6" w:rsidRPr="00955899">
        <w:rPr>
          <w:rFonts w:ascii="Traditional Arabic" w:hAnsi="Traditional Arabic" w:cs="Traditional Arabic"/>
          <w:sz w:val="24"/>
          <w:szCs w:val="24"/>
          <w:rtl/>
        </w:rPr>
        <w:t xml:space="preserve"> اقتضاء الصراط المستقيم،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ابن تيمية،</w:t>
      </w:r>
      <w:r w:rsidR="00BA0CA6" w:rsidRPr="00955899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BA0CA6" w:rsidRPr="00955899">
        <w:rPr>
          <w:rFonts w:ascii="Traditional Arabic" w:hAnsi="Traditional Arabic" w:cs="Traditional Arabic"/>
          <w:sz w:val="24"/>
          <w:szCs w:val="24"/>
          <w:rtl/>
        </w:rPr>
        <w:t>2/167-168</w:t>
      </w:r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BA0CA6" w:rsidRPr="00955899">
        <w:rPr>
          <w:rFonts w:ascii="Traditional Arabic" w:hAnsi="Traditional Arabic" w:cs="Traditional Arabic"/>
          <w:sz w:val="24"/>
          <w:szCs w:val="24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C57DA"/>
    <w:multiLevelType w:val="hybridMultilevel"/>
    <w:tmpl w:val="6F14ADFA"/>
    <w:lvl w:ilvl="0" w:tplc="F9FA7502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CA6"/>
    <w:rsid w:val="00073CEC"/>
    <w:rsid w:val="0008328B"/>
    <w:rsid w:val="002078CA"/>
    <w:rsid w:val="004F4871"/>
    <w:rsid w:val="0074006D"/>
    <w:rsid w:val="00794ED5"/>
    <w:rsid w:val="008C521A"/>
    <w:rsid w:val="00955899"/>
    <w:rsid w:val="00A01926"/>
    <w:rsid w:val="00A808F4"/>
    <w:rsid w:val="00AA60DF"/>
    <w:rsid w:val="00AE5CC1"/>
    <w:rsid w:val="00BA0CA6"/>
    <w:rsid w:val="00BA3186"/>
    <w:rsid w:val="00C009F4"/>
    <w:rsid w:val="00C71A0E"/>
    <w:rsid w:val="00CC4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03924DE-D300-4DE1-90CE-226D87EA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CA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CA6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BA0CA6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BA0CA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A0C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ayman mesbah</cp:lastModifiedBy>
  <cp:revision>9</cp:revision>
  <dcterms:created xsi:type="dcterms:W3CDTF">2016-03-01T13:14:00Z</dcterms:created>
  <dcterms:modified xsi:type="dcterms:W3CDTF">2016-06-12T12:39:00Z</dcterms:modified>
</cp:coreProperties>
</file>