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23" w:rsidRPr="004C38CB" w:rsidRDefault="004C38CB" w:rsidP="004C38CB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bookmarkStart w:id="0" w:name="_GoBack"/>
      <w:bookmarkEnd w:id="0"/>
      <w:r w:rsidR="00AE4023" w:rsidRPr="004C38CB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الاستدلال على الاستغاثة بحديث ((يا عباد اللهِ أعينوني))</w:t>
      </w:r>
    </w:p>
    <w:p w:rsidR="00D551C5" w:rsidRPr="004C38CB" w:rsidRDefault="00D551C5" w:rsidP="004C38C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يستدل</w:t>
      </w:r>
      <w:r w:rsidR="00AE4023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بعض المبتدعة على جواز</w:t>
      </w:r>
      <w:r w:rsidR="0091293A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 ببعض الأحاديث الدالة على أن المرء إذا كان في صحراء أو أرض ليس فيها أنيس</w:t>
      </w:r>
      <w:r w:rsidR="00AE4023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وأراد عونًا</w:t>
      </w:r>
      <w:r w:rsidR="00AE4023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فليناد</w:t>
      </w:r>
      <w:r w:rsidR="00AE4023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AE4023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(يا عباد</w:t>
      </w:r>
      <w:r w:rsidR="00AE4023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الله</w:t>
      </w:r>
      <w:r w:rsidR="00AE4023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أعينوني)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وما كان بهذا المعنى</w:t>
      </w:r>
      <w:r w:rsidR="0091293A"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4C38CB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91293A"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D551C5" w:rsidRPr="004C38CB" w:rsidRDefault="00D551C5" w:rsidP="004C38C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ومنها ما جاء عن عتبة بن غزوان </w:t>
      </w:r>
      <w:r w:rsidR="004C38C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91293A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نبي الله </w:t>
      </w:r>
      <w:r w:rsidR="004C38C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(إذا أضل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أحد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كم شيئًا أو أراد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أحد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كم عون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ً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وهو بأرض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ٍ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ليس بها أنيس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فليقل: يا عباد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الله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أغيثون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ي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!!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يا عباد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الله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أغيثون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ي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!!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فإن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لله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عبادًا لا نراهم</w:t>
      </w:r>
      <w:r w:rsidR="0091293A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</w:t>
      </w:r>
      <w:r w:rsidR="0091293A"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4C38CB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91293A"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D551C5" w:rsidRPr="004C38CB" w:rsidRDefault="00D551C5" w:rsidP="004C38C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4C38CB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  <w:t>الرد:</w:t>
      </w:r>
    </w:p>
    <w:p w:rsidR="0091293A" w:rsidRPr="004C38CB" w:rsidRDefault="0091293A" w:rsidP="004C38C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C38C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هذا الإسناد فيه انقطاع بين زيد وعتبة </w:t>
      </w:r>
      <w:r w:rsidR="004C38C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وقال الإمام الألباني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(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الحديث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ضعيف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حتج به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)</w:t>
      </w:r>
      <w:r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D551C5" w:rsidRPr="004C38CB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وعلى فرض صحته فمعناه ليس فيه استغاثة بالأموات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والغائبين.</w:t>
      </w:r>
    </w:p>
    <w:p w:rsidR="0091293A" w:rsidRPr="004C38CB" w:rsidRDefault="0091293A" w:rsidP="004C38C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C38C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الشيخ محمد ناصر الدين الألباني 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: (ومع أن هذا الحديث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ضعيف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فليس فيه دليل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جواز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بالموتى من الأولياء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والصالحين، لأنه صريح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بأن المقصود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بـ (عباد الله) فيه خلق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غير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البشر، بدليل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قول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في الحديث: 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</w:t>
      </w:r>
      <w:r w:rsidR="00D551C5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(فإن لله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D551C5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عبادًا لا نراهم</w:t>
      </w:r>
      <w:r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</w:t>
      </w:r>
      <w:r w:rsidR="00D551C5" w:rsidRPr="004C38CB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وهذا الوصف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إنما ينطبق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الملائكة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الجن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لأنهم الذين لا نراهم عادة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)</w:t>
      </w:r>
      <w:r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D551C5" w:rsidRPr="004C38CB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4C38C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D551C5" w:rsidRPr="004C38CB" w:rsidRDefault="0091293A" w:rsidP="004C38C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C38C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لو كان دعاء الموتى والغائبين سببًا موافقًا للشريعة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لكانت الدلالة إليه والحث عليه أولى من غيره؛ إذ أن البلوى به أعم من حاجة الذين تنقطع بهم الأسفار ويضل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ون في الأرض الفلاة، ولكن نبينا </w:t>
      </w:r>
      <w:r w:rsidR="004C38C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قد قطع للشرك كل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دابر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، وسد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كل باب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إليه، ولهذا لم يقل مرة: إذا ضل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كم أو أصابه ضر</w:t>
      </w:r>
      <w:r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="00D551C5" w:rsidRPr="004C38C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فليأتني في قبري، أو ليدعني من مكان بعيد.</w:t>
      </w:r>
    </w:p>
    <w:p w:rsidR="005A7F30" w:rsidRPr="004C38CB" w:rsidRDefault="005A7F30" w:rsidP="004C38CB">
      <w:pPr>
        <w:bidi w:val="0"/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5A7F30" w:rsidRPr="004C38CB" w:rsidSect="00B46F7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00" w:rsidRDefault="00436500" w:rsidP="00D551C5">
      <w:pPr>
        <w:spacing w:after="0" w:line="240" w:lineRule="auto"/>
      </w:pPr>
      <w:r>
        <w:separator/>
      </w:r>
    </w:p>
  </w:endnote>
  <w:endnote w:type="continuationSeparator" w:id="0">
    <w:p w:rsidR="00436500" w:rsidRDefault="00436500" w:rsidP="00D5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00" w:rsidRDefault="00436500" w:rsidP="00D551C5">
      <w:pPr>
        <w:spacing w:after="0" w:line="240" w:lineRule="auto"/>
      </w:pPr>
      <w:r>
        <w:separator/>
      </w:r>
    </w:p>
  </w:footnote>
  <w:footnote w:type="continuationSeparator" w:id="0">
    <w:p w:rsidR="00436500" w:rsidRDefault="00436500" w:rsidP="00D551C5">
      <w:pPr>
        <w:spacing w:after="0" w:line="240" w:lineRule="auto"/>
      </w:pPr>
      <w:r>
        <w:continuationSeparator/>
      </w:r>
    </w:p>
  </w:footnote>
  <w:footnote w:id="1">
    <w:p w:rsidR="00D551C5" w:rsidRPr="00B46F71" w:rsidRDefault="00B46F71" w:rsidP="0091293A">
      <w:pPr>
        <w:pStyle w:val="a3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="00D551C5" w:rsidRPr="00B46F7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551C5" w:rsidRPr="00B46F71">
        <w:rPr>
          <w:rFonts w:cs="Traditional Arabic"/>
          <w:sz w:val="24"/>
          <w:szCs w:val="24"/>
          <w:rtl/>
        </w:rPr>
        <w:t xml:space="preserve"> 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صلح الإخوان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ابن جرجيس، ص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52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، البراهين الساطعة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</w:t>
      </w:r>
      <w:r w:rsidR="0091293A">
        <w:rPr>
          <w:rFonts w:cs="Traditional Arabic" w:hint="cs"/>
          <w:sz w:val="24"/>
          <w:szCs w:val="24"/>
          <w:rtl/>
          <w:lang w:bidi="ar-EG"/>
        </w:rPr>
        <w:t>ا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لقضاعي، ص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446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، الصواعق الإلهية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سليمان بن عبد الوهاب، ص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94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، شواهد الحق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</w:t>
      </w:r>
      <w:r w:rsidR="0091293A">
        <w:rPr>
          <w:rFonts w:cs="Traditional Arabic" w:hint="cs"/>
          <w:sz w:val="24"/>
          <w:szCs w:val="24"/>
          <w:rtl/>
          <w:lang w:bidi="ar-EG"/>
        </w:rPr>
        <w:t>ا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لنبهاني، ص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173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، مفاهيم يجب أن تصحح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</w:t>
      </w:r>
      <w:r w:rsidR="0091293A">
        <w:rPr>
          <w:rFonts w:cs="Traditional Arabic" w:hint="cs"/>
          <w:sz w:val="24"/>
          <w:szCs w:val="24"/>
          <w:rtl/>
          <w:lang w:bidi="ar-EG"/>
        </w:rPr>
        <w:t>ا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لمالكي، ص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147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، وانظر: الرد على شبهات المستغيثين بغير الله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ابن عيسى، ص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82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، الصراع بين الإسلام والوثنية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عبد الله القصيمي، 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2/329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2">
    <w:p w:rsidR="00D551C5" w:rsidRPr="00B46F71" w:rsidRDefault="00B46F71" w:rsidP="0091293A">
      <w:pPr>
        <w:pStyle w:val="a3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Pr="00B46F7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551C5" w:rsidRPr="00B46F71">
        <w:rPr>
          <w:rFonts w:cs="Traditional Arabic"/>
          <w:sz w:val="24"/>
          <w:szCs w:val="24"/>
          <w:rtl/>
        </w:rPr>
        <w:t xml:space="preserve"> </w:t>
      </w:r>
      <w:r w:rsidR="0091293A">
        <w:rPr>
          <w:rFonts w:cs="Traditional Arabic" w:hint="cs"/>
          <w:sz w:val="24"/>
          <w:szCs w:val="24"/>
          <w:rtl/>
        </w:rPr>
        <w:t xml:space="preserve">روا الطبراني، 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المعجم الكبير، 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17/117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، 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290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3">
    <w:p w:rsidR="00D551C5" w:rsidRPr="00B46F71" w:rsidRDefault="00B46F71" w:rsidP="0091293A">
      <w:pPr>
        <w:pStyle w:val="a3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Pr="00B46F7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 xml:space="preserve">) 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سلسلة الأحاديث الضعيفة والموضوعة</w:t>
      </w:r>
      <w:r w:rsidR="0091293A">
        <w:rPr>
          <w:rFonts w:cs="Traditional Arabic" w:hint="cs"/>
          <w:sz w:val="24"/>
          <w:szCs w:val="24"/>
          <w:rtl/>
          <w:lang w:bidi="ar-EG"/>
        </w:rPr>
        <w:t>،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 </w:t>
      </w:r>
      <w:r w:rsidR="0091293A">
        <w:rPr>
          <w:rFonts w:cs="Traditional Arabic" w:hint="cs"/>
          <w:sz w:val="24"/>
          <w:szCs w:val="24"/>
          <w:rtl/>
          <w:lang w:bidi="ar-EG"/>
        </w:rPr>
        <w:t>ا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لألباني، 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656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4">
    <w:p w:rsidR="00D551C5" w:rsidRPr="00B46F71" w:rsidRDefault="00B46F71" w:rsidP="0091293A">
      <w:pPr>
        <w:pStyle w:val="a3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Pr="00B46F71">
        <w:rPr>
          <w:rStyle w:val="a4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551C5" w:rsidRPr="00B46F71">
        <w:rPr>
          <w:rFonts w:cs="Traditional Arabic"/>
          <w:sz w:val="24"/>
          <w:szCs w:val="24"/>
          <w:rtl/>
        </w:rPr>
        <w:t xml:space="preserve"> 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 xml:space="preserve">المرجع السابق، </w:t>
      </w:r>
      <w:r w:rsidR="0091293A">
        <w:rPr>
          <w:rFonts w:cs="Traditional Arabic" w:hint="cs"/>
          <w:sz w:val="24"/>
          <w:szCs w:val="24"/>
          <w:rtl/>
          <w:lang w:bidi="ar-EG"/>
        </w:rPr>
        <w:t>(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2/110-111</w:t>
      </w:r>
      <w:r w:rsidR="0091293A">
        <w:rPr>
          <w:rFonts w:cs="Traditional Arabic" w:hint="cs"/>
          <w:sz w:val="24"/>
          <w:szCs w:val="24"/>
          <w:rtl/>
          <w:lang w:bidi="ar-EG"/>
        </w:rPr>
        <w:t>)</w:t>
      </w:r>
      <w:r w:rsidR="00D551C5" w:rsidRPr="00B46F71">
        <w:rPr>
          <w:rFonts w:cs="Traditional Arabic" w:hint="cs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6FCE"/>
    <w:multiLevelType w:val="hybridMultilevel"/>
    <w:tmpl w:val="02108766"/>
    <w:lvl w:ilvl="0" w:tplc="794615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1C5"/>
    <w:rsid w:val="0020712A"/>
    <w:rsid w:val="002078CA"/>
    <w:rsid w:val="00323017"/>
    <w:rsid w:val="00362E08"/>
    <w:rsid w:val="00436500"/>
    <w:rsid w:val="004C38CB"/>
    <w:rsid w:val="005A7F30"/>
    <w:rsid w:val="007E026F"/>
    <w:rsid w:val="0091293A"/>
    <w:rsid w:val="00AE4023"/>
    <w:rsid w:val="00B30756"/>
    <w:rsid w:val="00B46F71"/>
    <w:rsid w:val="00D551C5"/>
    <w:rsid w:val="00D6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A6B4B1-0D05-42B9-9D13-C64DB20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551C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551C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551C5"/>
    <w:rPr>
      <w:vertAlign w:val="superscript"/>
    </w:rPr>
  </w:style>
  <w:style w:type="paragraph" w:styleId="a5">
    <w:name w:val="List Paragraph"/>
    <w:basedOn w:val="a"/>
    <w:uiPriority w:val="34"/>
    <w:qFormat/>
    <w:rsid w:val="00D5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6</cp:revision>
  <dcterms:created xsi:type="dcterms:W3CDTF">2016-03-01T13:19:00Z</dcterms:created>
  <dcterms:modified xsi:type="dcterms:W3CDTF">2016-06-13T21:43:00Z</dcterms:modified>
</cp:coreProperties>
</file>