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266" w:rsidRPr="00580932" w:rsidRDefault="005F3266" w:rsidP="00580932">
      <w:pPr>
        <w:spacing w:before="120" w:after="120" w:line="240" w:lineRule="auto"/>
        <w:ind w:firstLine="227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r w:rsidRPr="0058093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القول بأن الاستغاثة بالأموات لا يعني قدرتهم على الإيجاد وإنما طلب شفاعتهم عند الله</w:t>
      </w:r>
    </w:p>
    <w:p w:rsidR="005E1339" w:rsidRDefault="005E1339" w:rsidP="00580932">
      <w:pPr>
        <w:spacing w:before="120" w:after="12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يستدل</w:t>
      </w:r>
      <w:r w:rsidR="005F3266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ُّ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المبتدعة على جواز </w:t>
      </w:r>
      <w:r w:rsidRPr="000F2A67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الاستغاثة بالأموات وطلب الحوائج منهم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؛ بأنه</w:t>
      </w:r>
      <w:r w:rsidRPr="000F2A67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لا ي</w:t>
      </w:r>
      <w:r w:rsidR="005F3266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0F2A67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راد بها أنهم يقضون ذلك على الحقيقة بالخلق والإيجاد، بل المراد أن يشفعوا عند الله تعالى بقضائها، فهم أسباب</w:t>
      </w:r>
      <w:r w:rsidR="005F3266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ٌ</w:t>
      </w:r>
      <w:r w:rsidRPr="000F2A67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في قضائها، أما الخلق والإيجاد فمن الله</w:t>
      </w:r>
      <w:r w:rsidR="005F3266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0F2A67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تعالى وحده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، وهي شبهة مشهورة بالمجاز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العقلي</w:t>
      </w:r>
      <w:r w:rsidR="005F3266" w:rsidRPr="005F3266">
        <w:rPr>
          <w:rFonts w:ascii="Traditional Arabic" w:hAnsi="Traditional Arabic" w:cs="Traditional Arabic" w:hint="cs"/>
          <w:sz w:val="32"/>
          <w:szCs w:val="32"/>
          <w:vertAlign w:val="superscript"/>
          <w:rtl/>
          <w:lang w:bidi="ar-EG"/>
        </w:rPr>
        <w:t>(</w:t>
      </w:r>
      <w:proofErr w:type="gramEnd"/>
      <w:r w:rsidRPr="005F3266">
        <w:rPr>
          <w:rStyle w:val="a5"/>
          <w:rFonts w:ascii="Traditional Arabic" w:hAnsi="Traditional Arabic" w:cs="Traditional Arabic"/>
          <w:sz w:val="32"/>
          <w:szCs w:val="32"/>
          <w:rtl/>
          <w:lang w:bidi="ar-EG"/>
        </w:rPr>
        <w:footnoteReference w:id="1"/>
      </w:r>
      <w:r w:rsidR="005F3266" w:rsidRPr="005F3266">
        <w:rPr>
          <w:rFonts w:ascii="Traditional Arabic" w:hAnsi="Traditional Arabic" w:cs="Traditional Arabic" w:hint="cs"/>
          <w:sz w:val="32"/>
          <w:szCs w:val="32"/>
          <w:vertAlign w:val="superscript"/>
          <w:rtl/>
          <w:lang w:bidi="ar-EG"/>
        </w:rPr>
        <w:t>)</w:t>
      </w:r>
      <w:r w:rsidRPr="000F2A67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.</w:t>
      </w:r>
    </w:p>
    <w:p w:rsidR="005E1339" w:rsidRDefault="005E1339" w:rsidP="00580932">
      <w:pPr>
        <w:spacing w:before="120" w:after="12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يقول أحمد زيني دحلان: (إذا قلت</w:t>
      </w:r>
      <w:r w:rsidR="005F3266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ُ: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</w:t>
      </w:r>
      <w:r w:rsidR="005F3266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"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أغثني يا رسول الله</w:t>
      </w:r>
      <w:r w:rsidR="005F3266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"،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تريد</w:t>
      </w:r>
      <w:r w:rsidR="005F3266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الإسناد</w:t>
      </w:r>
      <w:r w:rsidR="005F3266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المجازي باعتبار</w:t>
      </w:r>
      <w:r w:rsidR="005F3266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التسبب والكسب والتوسط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بالشفاعة</w:t>
      </w:r>
      <w:r w:rsidR="005F3266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)</w:t>
      </w:r>
      <w:r w:rsidR="005F3266" w:rsidRPr="005F3266">
        <w:rPr>
          <w:rFonts w:ascii="Traditional Arabic" w:hAnsi="Traditional Arabic" w:cs="Traditional Arabic" w:hint="cs"/>
          <w:sz w:val="32"/>
          <w:szCs w:val="32"/>
          <w:vertAlign w:val="superscript"/>
          <w:rtl/>
          <w:lang w:bidi="ar-EG"/>
        </w:rPr>
        <w:t>(</w:t>
      </w:r>
      <w:proofErr w:type="gramEnd"/>
      <w:r w:rsidRPr="005F3266">
        <w:rPr>
          <w:rStyle w:val="a5"/>
          <w:rFonts w:ascii="Traditional Arabic" w:hAnsi="Traditional Arabic" w:cs="Traditional Arabic"/>
          <w:sz w:val="32"/>
          <w:szCs w:val="32"/>
          <w:rtl/>
          <w:lang w:bidi="ar-EG"/>
        </w:rPr>
        <w:footnoteReference w:id="2"/>
      </w:r>
      <w:r w:rsidR="005F3266" w:rsidRPr="005F3266">
        <w:rPr>
          <w:rFonts w:ascii="Traditional Arabic" w:hAnsi="Traditional Arabic" w:cs="Traditional Arabic" w:hint="cs"/>
          <w:sz w:val="32"/>
          <w:szCs w:val="32"/>
          <w:vertAlign w:val="superscript"/>
          <w:rtl/>
          <w:lang w:bidi="ar-EG"/>
        </w:rPr>
        <w:t>)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.</w:t>
      </w:r>
    </w:p>
    <w:p w:rsidR="005E1339" w:rsidRPr="00580932" w:rsidRDefault="005E1339" w:rsidP="00580932">
      <w:pPr>
        <w:spacing w:before="120" w:after="120" w:line="240" w:lineRule="auto"/>
        <w:ind w:firstLine="227"/>
        <w:jc w:val="lowKashida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</w:pPr>
      <w:r w:rsidRPr="00580932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EG"/>
        </w:rPr>
        <w:t>الرد:</w:t>
      </w:r>
    </w:p>
    <w:p w:rsidR="005F3266" w:rsidRDefault="005F3266" w:rsidP="00580932">
      <w:pPr>
        <w:spacing w:before="120" w:after="12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5F3266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EG"/>
        </w:rPr>
        <w:t>أولًا: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</w:t>
      </w:r>
      <w:r w:rsidR="005E1339" w:rsidRPr="005F3266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ما يسموه مجازًا هنا هو استغاثة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ٌ</w:t>
      </w:r>
      <w:r w:rsidR="005E1339" w:rsidRPr="005F3266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بالأموات وجعلهم وسائط وشفعاء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،</w:t>
      </w:r>
      <w:r w:rsidR="005E1339" w:rsidRPr="005F3266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وذلك ما كان يفعله المشركون السابقون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؛</w:t>
      </w:r>
      <w:r w:rsidR="005E1339" w:rsidRPr="005F3266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قال تع</w:t>
      </w:r>
      <w:bookmarkStart w:id="0" w:name="_GoBack"/>
      <w:bookmarkEnd w:id="0"/>
      <w:r w:rsidR="005E1339" w:rsidRPr="005F3266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الى: </w:t>
      </w:r>
      <w:r w:rsidR="005E1339" w:rsidRPr="005F3266">
        <w:rPr>
          <w:rFonts w:ascii="Traditional Arabic" w:hAnsi="Traditional Arabic" w:cs="Traditional Arabic"/>
          <w:color w:val="FF0000"/>
          <w:sz w:val="32"/>
          <w:szCs w:val="32"/>
          <w:rtl/>
          <w:lang w:bidi="ar-EG"/>
        </w:rPr>
        <w:t>{</w:t>
      </w:r>
      <w:r w:rsidR="005E1339" w:rsidRPr="005F3266">
        <w:rPr>
          <w:rFonts w:ascii="Traditional Arabic" w:hAnsi="Traditional Arabic" w:cs="Traditional Arabic" w:hint="cs"/>
          <w:color w:val="FF0000"/>
          <w:sz w:val="32"/>
          <w:szCs w:val="32"/>
          <w:rtl/>
          <w:lang w:bidi="ar-EG"/>
        </w:rPr>
        <w:t>وَالَّذِينَ</w:t>
      </w:r>
      <w:r w:rsidR="005E1339" w:rsidRPr="005F3266">
        <w:rPr>
          <w:rFonts w:ascii="Traditional Arabic" w:hAnsi="Traditional Arabic" w:cs="Traditional Arabic"/>
          <w:color w:val="FF0000"/>
          <w:sz w:val="32"/>
          <w:szCs w:val="32"/>
          <w:rtl/>
          <w:lang w:bidi="ar-EG"/>
        </w:rPr>
        <w:t xml:space="preserve"> </w:t>
      </w:r>
      <w:r w:rsidR="005E1339" w:rsidRPr="005F3266">
        <w:rPr>
          <w:rFonts w:ascii="Traditional Arabic" w:hAnsi="Traditional Arabic" w:cs="Traditional Arabic" w:hint="cs"/>
          <w:color w:val="FF0000"/>
          <w:sz w:val="32"/>
          <w:szCs w:val="32"/>
          <w:rtl/>
          <w:lang w:bidi="ar-EG"/>
        </w:rPr>
        <w:t>اتَّخَذُوا</w:t>
      </w:r>
      <w:r w:rsidR="005E1339" w:rsidRPr="005F3266">
        <w:rPr>
          <w:rFonts w:ascii="Traditional Arabic" w:hAnsi="Traditional Arabic" w:cs="Traditional Arabic"/>
          <w:color w:val="FF0000"/>
          <w:sz w:val="32"/>
          <w:szCs w:val="32"/>
          <w:rtl/>
          <w:lang w:bidi="ar-EG"/>
        </w:rPr>
        <w:t xml:space="preserve"> </w:t>
      </w:r>
      <w:r w:rsidR="005E1339" w:rsidRPr="005F3266">
        <w:rPr>
          <w:rFonts w:ascii="Traditional Arabic" w:hAnsi="Traditional Arabic" w:cs="Traditional Arabic" w:hint="cs"/>
          <w:color w:val="FF0000"/>
          <w:sz w:val="32"/>
          <w:szCs w:val="32"/>
          <w:rtl/>
          <w:lang w:bidi="ar-EG"/>
        </w:rPr>
        <w:t>مِنْ</w:t>
      </w:r>
      <w:r w:rsidR="005E1339" w:rsidRPr="005F3266">
        <w:rPr>
          <w:rFonts w:ascii="Traditional Arabic" w:hAnsi="Traditional Arabic" w:cs="Traditional Arabic"/>
          <w:color w:val="FF0000"/>
          <w:sz w:val="32"/>
          <w:szCs w:val="32"/>
          <w:rtl/>
          <w:lang w:bidi="ar-EG"/>
        </w:rPr>
        <w:t xml:space="preserve"> </w:t>
      </w:r>
      <w:r w:rsidR="005E1339" w:rsidRPr="005F3266">
        <w:rPr>
          <w:rFonts w:ascii="Traditional Arabic" w:hAnsi="Traditional Arabic" w:cs="Traditional Arabic" w:hint="cs"/>
          <w:color w:val="FF0000"/>
          <w:sz w:val="32"/>
          <w:szCs w:val="32"/>
          <w:rtl/>
          <w:lang w:bidi="ar-EG"/>
        </w:rPr>
        <w:t>دُونِهِ</w:t>
      </w:r>
      <w:r w:rsidR="005E1339" w:rsidRPr="005F3266">
        <w:rPr>
          <w:rFonts w:ascii="Traditional Arabic" w:hAnsi="Traditional Arabic" w:cs="Traditional Arabic"/>
          <w:color w:val="FF0000"/>
          <w:sz w:val="32"/>
          <w:szCs w:val="32"/>
          <w:rtl/>
          <w:lang w:bidi="ar-EG"/>
        </w:rPr>
        <w:t xml:space="preserve"> </w:t>
      </w:r>
      <w:r w:rsidR="005E1339" w:rsidRPr="005F3266">
        <w:rPr>
          <w:rFonts w:ascii="Traditional Arabic" w:hAnsi="Traditional Arabic" w:cs="Traditional Arabic" w:hint="cs"/>
          <w:color w:val="FF0000"/>
          <w:sz w:val="32"/>
          <w:szCs w:val="32"/>
          <w:rtl/>
          <w:lang w:bidi="ar-EG"/>
        </w:rPr>
        <w:t>أَوْلِيَاءَ</w:t>
      </w:r>
      <w:r w:rsidR="005E1339" w:rsidRPr="005F3266">
        <w:rPr>
          <w:rFonts w:ascii="Traditional Arabic" w:hAnsi="Traditional Arabic" w:cs="Traditional Arabic"/>
          <w:color w:val="FF0000"/>
          <w:sz w:val="32"/>
          <w:szCs w:val="32"/>
          <w:rtl/>
          <w:lang w:bidi="ar-EG"/>
        </w:rPr>
        <w:t xml:space="preserve"> </w:t>
      </w:r>
      <w:r w:rsidR="005E1339" w:rsidRPr="005F3266">
        <w:rPr>
          <w:rFonts w:ascii="Traditional Arabic" w:hAnsi="Traditional Arabic" w:cs="Traditional Arabic" w:hint="cs"/>
          <w:color w:val="FF0000"/>
          <w:sz w:val="32"/>
          <w:szCs w:val="32"/>
          <w:rtl/>
          <w:lang w:bidi="ar-EG"/>
        </w:rPr>
        <w:t>مَا</w:t>
      </w:r>
      <w:r w:rsidR="005E1339" w:rsidRPr="005F3266">
        <w:rPr>
          <w:rFonts w:ascii="Traditional Arabic" w:hAnsi="Traditional Arabic" w:cs="Traditional Arabic"/>
          <w:color w:val="FF0000"/>
          <w:sz w:val="32"/>
          <w:szCs w:val="32"/>
          <w:rtl/>
          <w:lang w:bidi="ar-EG"/>
        </w:rPr>
        <w:t xml:space="preserve"> </w:t>
      </w:r>
      <w:r w:rsidR="005E1339" w:rsidRPr="005F3266">
        <w:rPr>
          <w:rFonts w:ascii="Traditional Arabic" w:hAnsi="Traditional Arabic" w:cs="Traditional Arabic" w:hint="cs"/>
          <w:color w:val="FF0000"/>
          <w:sz w:val="32"/>
          <w:szCs w:val="32"/>
          <w:rtl/>
          <w:lang w:bidi="ar-EG"/>
        </w:rPr>
        <w:t>نَعْبُدُهُمْ</w:t>
      </w:r>
      <w:r w:rsidR="005E1339" w:rsidRPr="005F3266">
        <w:rPr>
          <w:rFonts w:ascii="Traditional Arabic" w:hAnsi="Traditional Arabic" w:cs="Traditional Arabic"/>
          <w:color w:val="FF0000"/>
          <w:sz w:val="32"/>
          <w:szCs w:val="32"/>
          <w:rtl/>
          <w:lang w:bidi="ar-EG"/>
        </w:rPr>
        <w:t xml:space="preserve"> </w:t>
      </w:r>
      <w:r w:rsidR="005E1339" w:rsidRPr="005F3266">
        <w:rPr>
          <w:rFonts w:ascii="Traditional Arabic" w:hAnsi="Traditional Arabic" w:cs="Traditional Arabic" w:hint="cs"/>
          <w:color w:val="FF0000"/>
          <w:sz w:val="32"/>
          <w:szCs w:val="32"/>
          <w:rtl/>
          <w:lang w:bidi="ar-EG"/>
        </w:rPr>
        <w:t>إِلَّا</w:t>
      </w:r>
      <w:r w:rsidR="005E1339" w:rsidRPr="005F3266">
        <w:rPr>
          <w:rFonts w:ascii="Traditional Arabic" w:hAnsi="Traditional Arabic" w:cs="Traditional Arabic"/>
          <w:color w:val="FF0000"/>
          <w:sz w:val="32"/>
          <w:szCs w:val="32"/>
          <w:rtl/>
          <w:lang w:bidi="ar-EG"/>
        </w:rPr>
        <w:t xml:space="preserve"> </w:t>
      </w:r>
      <w:r w:rsidR="005E1339" w:rsidRPr="005F3266">
        <w:rPr>
          <w:rFonts w:ascii="Traditional Arabic" w:hAnsi="Traditional Arabic" w:cs="Traditional Arabic" w:hint="cs"/>
          <w:color w:val="FF0000"/>
          <w:sz w:val="32"/>
          <w:szCs w:val="32"/>
          <w:rtl/>
          <w:lang w:bidi="ar-EG"/>
        </w:rPr>
        <w:t>لِيُقَرِّبُونَا</w:t>
      </w:r>
      <w:r w:rsidR="005E1339" w:rsidRPr="005F3266">
        <w:rPr>
          <w:rFonts w:ascii="Traditional Arabic" w:hAnsi="Traditional Arabic" w:cs="Traditional Arabic"/>
          <w:color w:val="FF0000"/>
          <w:sz w:val="32"/>
          <w:szCs w:val="32"/>
          <w:rtl/>
          <w:lang w:bidi="ar-EG"/>
        </w:rPr>
        <w:t xml:space="preserve"> </w:t>
      </w:r>
      <w:r w:rsidR="005E1339" w:rsidRPr="005F3266">
        <w:rPr>
          <w:rFonts w:ascii="Traditional Arabic" w:hAnsi="Traditional Arabic" w:cs="Traditional Arabic" w:hint="cs"/>
          <w:color w:val="FF0000"/>
          <w:sz w:val="32"/>
          <w:szCs w:val="32"/>
          <w:rtl/>
          <w:lang w:bidi="ar-EG"/>
        </w:rPr>
        <w:t>إِلَى</w:t>
      </w:r>
      <w:r w:rsidR="005E1339" w:rsidRPr="005F3266">
        <w:rPr>
          <w:rFonts w:ascii="Traditional Arabic" w:hAnsi="Traditional Arabic" w:cs="Traditional Arabic"/>
          <w:color w:val="FF0000"/>
          <w:sz w:val="32"/>
          <w:szCs w:val="32"/>
          <w:rtl/>
          <w:lang w:bidi="ar-EG"/>
        </w:rPr>
        <w:t xml:space="preserve"> </w:t>
      </w:r>
      <w:r w:rsidR="005E1339" w:rsidRPr="005F3266">
        <w:rPr>
          <w:rFonts w:ascii="Traditional Arabic" w:hAnsi="Traditional Arabic" w:cs="Traditional Arabic" w:hint="cs"/>
          <w:color w:val="FF0000"/>
          <w:sz w:val="32"/>
          <w:szCs w:val="32"/>
          <w:rtl/>
          <w:lang w:bidi="ar-EG"/>
        </w:rPr>
        <w:t>اللَّهِ</w:t>
      </w:r>
      <w:r w:rsidR="005E1339" w:rsidRPr="005F3266">
        <w:rPr>
          <w:rFonts w:ascii="Traditional Arabic" w:hAnsi="Traditional Arabic" w:cs="Traditional Arabic"/>
          <w:color w:val="FF0000"/>
          <w:sz w:val="32"/>
          <w:szCs w:val="32"/>
          <w:rtl/>
          <w:lang w:bidi="ar-EG"/>
        </w:rPr>
        <w:t xml:space="preserve"> </w:t>
      </w:r>
      <w:r w:rsidR="005E1339" w:rsidRPr="005F3266">
        <w:rPr>
          <w:rFonts w:ascii="Traditional Arabic" w:hAnsi="Traditional Arabic" w:cs="Traditional Arabic" w:hint="cs"/>
          <w:color w:val="FF0000"/>
          <w:sz w:val="32"/>
          <w:szCs w:val="32"/>
          <w:rtl/>
          <w:lang w:bidi="ar-EG"/>
        </w:rPr>
        <w:t>زُلْفَى</w:t>
      </w:r>
      <w:r w:rsidR="005E1339" w:rsidRPr="005F3266">
        <w:rPr>
          <w:rFonts w:ascii="Traditional Arabic" w:hAnsi="Traditional Arabic" w:cs="Traditional Arabic"/>
          <w:color w:val="FF0000"/>
          <w:sz w:val="32"/>
          <w:szCs w:val="32"/>
          <w:rtl/>
          <w:lang w:bidi="ar-EG"/>
        </w:rPr>
        <w:t>}</w:t>
      </w:r>
      <w:r w:rsidR="005E1339" w:rsidRPr="005F326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5E1339" w:rsidRPr="005F3266">
        <w:rPr>
          <w:rFonts w:ascii="Traditional Arabic" w:hAnsi="Traditional Arabic" w:cs="Traditional Arabic"/>
          <w:rtl/>
          <w:lang w:bidi="ar-EG"/>
        </w:rPr>
        <w:t>[</w:t>
      </w:r>
      <w:r w:rsidR="005E1339" w:rsidRPr="005F3266">
        <w:rPr>
          <w:rFonts w:ascii="Traditional Arabic" w:hAnsi="Traditional Arabic" w:cs="Traditional Arabic" w:hint="cs"/>
          <w:rtl/>
          <w:lang w:bidi="ar-EG"/>
        </w:rPr>
        <w:t>الزمر</w:t>
      </w:r>
      <w:r w:rsidR="005E1339" w:rsidRPr="005F3266">
        <w:rPr>
          <w:rFonts w:ascii="Traditional Arabic" w:hAnsi="Traditional Arabic" w:cs="Traditional Arabic"/>
          <w:rtl/>
          <w:lang w:bidi="ar-EG"/>
        </w:rPr>
        <w:t>: 3]</w:t>
      </w:r>
      <w:r w:rsidR="005E1339" w:rsidRPr="005F3266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.</w:t>
      </w:r>
    </w:p>
    <w:p w:rsidR="005F3266" w:rsidRDefault="005F3266" w:rsidP="00580932">
      <w:pPr>
        <w:spacing w:before="120" w:after="12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5F3266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EG"/>
        </w:rPr>
        <w:t>ثانيًا: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</w:t>
      </w:r>
      <w:r w:rsidR="005E1339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قال الشيخ محمد بشير </w:t>
      </w:r>
      <w:proofErr w:type="spellStart"/>
      <w:r w:rsidR="005E1339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السهسواني</w:t>
      </w:r>
      <w:proofErr w:type="spellEnd"/>
      <w:r w:rsidR="005E1339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- </w:t>
      </w:r>
      <w:r w:rsidR="005E1339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رحمه</w:t>
      </w:r>
      <w:proofErr w:type="gramEnd"/>
      <w:r w:rsidR="005E1339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الله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-</w:t>
      </w:r>
      <w:r w:rsidR="005E1339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: (لو سلم هذا 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-</w:t>
      </w:r>
      <w:r w:rsidR="005E1339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المجاز 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-</w:t>
      </w:r>
      <w:r w:rsidR="005E1339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لاستحال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5E1339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الا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ر</w:t>
      </w:r>
      <w:r w:rsidR="005E1339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تداد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="005E1339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، ولغاب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5E1339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باب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="005E1339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الر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ِّ</w:t>
      </w:r>
      <w:r w:rsidR="005E1339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د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َّ</w:t>
      </w:r>
      <w:r w:rsidR="005E1339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ة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5E1339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الذي يعقده الفقهاء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="005E1339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، فإن المسلم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5E1339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الموحد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5E1339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متى صدر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5E1339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منه قول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ٌ</w:t>
      </w:r>
      <w:r w:rsidR="005E1339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أو فعل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ٌ</w:t>
      </w:r>
      <w:r w:rsidR="005E1339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موج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5E1339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ب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ٌ</w:t>
      </w:r>
      <w:r w:rsidR="005E1339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للكفر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5E1339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وجب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5E1339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حمل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="005E1339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ه على المجاز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5E1339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العقلي، والإسلام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="005E1339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والتوحيد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="005E1339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قرينة على ذلك المجاز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5E1339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)</w:t>
      </w:r>
      <w:r w:rsidRPr="005F3266">
        <w:rPr>
          <w:rFonts w:ascii="Traditional Arabic" w:hAnsi="Traditional Arabic" w:cs="Traditional Arabic" w:hint="cs"/>
          <w:sz w:val="32"/>
          <w:szCs w:val="32"/>
          <w:vertAlign w:val="superscript"/>
          <w:rtl/>
          <w:lang w:bidi="ar-EG"/>
        </w:rPr>
        <w:t>(</w:t>
      </w:r>
      <w:r w:rsidR="005E1339" w:rsidRPr="005F3266">
        <w:rPr>
          <w:rStyle w:val="a5"/>
          <w:rFonts w:ascii="Traditional Arabic" w:hAnsi="Traditional Arabic" w:cs="Traditional Arabic"/>
          <w:sz w:val="32"/>
          <w:szCs w:val="32"/>
          <w:rtl/>
          <w:lang w:bidi="ar-EG"/>
        </w:rPr>
        <w:footnoteReference w:id="3"/>
      </w:r>
      <w:r w:rsidRPr="005F3266">
        <w:rPr>
          <w:rFonts w:ascii="Traditional Arabic" w:hAnsi="Traditional Arabic" w:cs="Traditional Arabic" w:hint="cs"/>
          <w:sz w:val="32"/>
          <w:szCs w:val="32"/>
          <w:vertAlign w:val="superscript"/>
          <w:rtl/>
          <w:lang w:bidi="ar-EG"/>
        </w:rPr>
        <w:t>)</w:t>
      </w:r>
      <w:r w:rsidR="005E1339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.</w:t>
      </w:r>
    </w:p>
    <w:p w:rsidR="005F3266" w:rsidRDefault="005F3266" w:rsidP="00580932">
      <w:pPr>
        <w:spacing w:before="120" w:after="12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5F3266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EG"/>
        </w:rPr>
        <w:t>ثالثًا: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</w:t>
      </w:r>
      <w:r w:rsidR="005E1339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أن الكلام متى ف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="005E1339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هم منه معنى حقيقي فهو محمول على ذلك المعنى، ولا نحتاج أن نحمله على مجاز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ٍ</w:t>
      </w:r>
      <w:r w:rsidR="005E1339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ولا غيره.</w:t>
      </w:r>
    </w:p>
    <w:p w:rsidR="005E1339" w:rsidRPr="004818DF" w:rsidRDefault="005F3266" w:rsidP="00580932">
      <w:pPr>
        <w:spacing w:before="120" w:after="12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5F3266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EG"/>
        </w:rPr>
        <w:t>رابعًا: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</w:t>
      </w:r>
      <w:r w:rsidR="005E1339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أن المجاز لا يعرفه كثير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ٌ</w:t>
      </w:r>
      <w:r w:rsidR="005E1339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ممن يعكفو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ن</w:t>
      </w:r>
      <w:r w:rsidR="005E1339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على القبور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5E1339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ويستغيثو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ن</w:t>
      </w:r>
      <w:r w:rsidR="005E1339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بأهل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5E1339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ها، بل ظاهر حالهم يدل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ُّ</w:t>
      </w:r>
      <w:r w:rsidR="005E1339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على اعتقاد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ٍ</w:t>
      </w:r>
      <w:r w:rsidR="005E1339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قائم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ٍ</w:t>
      </w:r>
      <w:r w:rsidR="005E1339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في النفس بأن أولئك المدعوين قادرون على التصرف، وأنهم يكشفون الضر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َّ</w:t>
      </w:r>
      <w:r w:rsidR="005E1339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ويرفعون البلوى.</w:t>
      </w:r>
    </w:p>
    <w:p w:rsidR="005E1339" w:rsidRPr="006B6999" w:rsidRDefault="005E1339" w:rsidP="00580932">
      <w:pPr>
        <w:spacing w:before="120" w:after="12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lang w:bidi="ar-EG"/>
        </w:rPr>
      </w:pPr>
    </w:p>
    <w:p w:rsidR="004F4871" w:rsidRPr="005E1339" w:rsidRDefault="004F4871" w:rsidP="00580932">
      <w:pPr>
        <w:spacing w:before="120" w:after="120" w:line="240" w:lineRule="auto"/>
        <w:ind w:firstLine="227"/>
        <w:jc w:val="lowKashida"/>
      </w:pPr>
    </w:p>
    <w:sectPr w:rsidR="004F4871" w:rsidRPr="005E1339" w:rsidSect="00580932">
      <w:footnotePr>
        <w:numRestart w:val="eachPage"/>
      </w:footnotePr>
      <w:pgSz w:w="11906" w:h="16838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927" w:rsidRDefault="001E6927" w:rsidP="005E1339">
      <w:pPr>
        <w:spacing w:after="0" w:line="240" w:lineRule="auto"/>
      </w:pPr>
      <w:r>
        <w:separator/>
      </w:r>
    </w:p>
  </w:endnote>
  <w:endnote w:type="continuationSeparator" w:id="0">
    <w:p w:rsidR="001E6927" w:rsidRDefault="001E6927" w:rsidP="005E1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927" w:rsidRDefault="001E6927" w:rsidP="005E1339">
      <w:pPr>
        <w:spacing w:after="0" w:line="240" w:lineRule="auto"/>
      </w:pPr>
      <w:r>
        <w:separator/>
      </w:r>
    </w:p>
  </w:footnote>
  <w:footnote w:type="continuationSeparator" w:id="0">
    <w:p w:rsidR="001E6927" w:rsidRDefault="001E6927" w:rsidP="005E1339">
      <w:pPr>
        <w:spacing w:after="0" w:line="240" w:lineRule="auto"/>
      </w:pPr>
      <w:r>
        <w:continuationSeparator/>
      </w:r>
    </w:p>
  </w:footnote>
  <w:footnote w:id="1">
    <w:p w:rsidR="005E1339" w:rsidRPr="00C62AB2" w:rsidRDefault="00506319" w:rsidP="00506319">
      <w:pPr>
        <w:pStyle w:val="a4"/>
        <w:jc w:val="both"/>
        <w:rPr>
          <w:rFonts w:ascii="Traditional Arabic" w:hAnsi="Traditional Arabic" w:cs="Traditional Arabic"/>
          <w:sz w:val="24"/>
          <w:szCs w:val="24"/>
          <w:lang w:bidi="ar-EG"/>
        </w:rPr>
      </w:pP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(</w:t>
      </w:r>
      <w:r w:rsidR="005E1339" w:rsidRPr="00C62AB2">
        <w:rPr>
          <w:rStyle w:val="a5"/>
          <w:rFonts w:ascii="Traditional Arabic" w:hAnsi="Traditional Arabic" w:cs="Traditional Arabic"/>
          <w:sz w:val="24"/>
          <w:szCs w:val="24"/>
          <w:vertAlign w:val="baseline"/>
        </w:rPr>
        <w:footnoteRef/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)</w:t>
      </w:r>
      <w:r w:rsidR="005E1339" w:rsidRPr="00C62AB2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5E1339" w:rsidRPr="00C62AB2">
        <w:rPr>
          <w:rFonts w:ascii="Traditional Arabic" w:hAnsi="Traditional Arabic" w:cs="Traditional Arabic"/>
          <w:sz w:val="24"/>
          <w:szCs w:val="24"/>
          <w:rtl/>
          <w:lang w:bidi="ar-EG"/>
        </w:rPr>
        <w:t>الدرر السنية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،</w:t>
      </w:r>
      <w:r w:rsidR="005E1339" w:rsidRPr="00C62AB2">
        <w:rPr>
          <w:rFonts w:ascii="Traditional Arabic" w:hAnsi="Traditional Arabic" w:cs="Traditional Arabic"/>
          <w:sz w:val="24"/>
          <w:szCs w:val="24"/>
          <w:rtl/>
          <w:lang w:bidi="ar-EG"/>
        </w:rPr>
        <w:t xml:space="preserve"> دحلان، ص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(</w:t>
      </w:r>
      <w:r w:rsidR="005E1339" w:rsidRPr="00C62AB2">
        <w:rPr>
          <w:rFonts w:ascii="Traditional Arabic" w:hAnsi="Traditional Arabic" w:cs="Traditional Arabic"/>
          <w:sz w:val="24"/>
          <w:szCs w:val="24"/>
          <w:rtl/>
          <w:lang w:bidi="ar-EG"/>
        </w:rPr>
        <w:t>17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)</w:t>
      </w:r>
      <w:r w:rsidR="005E1339" w:rsidRPr="00C62AB2">
        <w:rPr>
          <w:rFonts w:ascii="Traditional Arabic" w:hAnsi="Traditional Arabic" w:cs="Traditional Arabic"/>
          <w:sz w:val="24"/>
          <w:szCs w:val="24"/>
          <w:rtl/>
          <w:lang w:bidi="ar-EG"/>
        </w:rPr>
        <w:t>، شواهد الحق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،</w:t>
      </w:r>
      <w:r w:rsidR="005E1339" w:rsidRPr="00C62AB2">
        <w:rPr>
          <w:rFonts w:ascii="Traditional Arabic" w:hAnsi="Traditional Arabic" w:cs="Traditional Arabic"/>
          <w:sz w:val="24"/>
          <w:szCs w:val="24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ا</w:t>
      </w:r>
      <w:r w:rsidR="005E1339" w:rsidRPr="00C62AB2">
        <w:rPr>
          <w:rFonts w:ascii="Traditional Arabic" w:hAnsi="Traditional Arabic" w:cs="Traditional Arabic"/>
          <w:sz w:val="24"/>
          <w:szCs w:val="24"/>
          <w:rtl/>
          <w:lang w:bidi="ar-EG"/>
        </w:rPr>
        <w:t>لنبهاني، ص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(</w:t>
      </w:r>
      <w:r w:rsidR="005E1339" w:rsidRPr="00C62AB2">
        <w:rPr>
          <w:rFonts w:ascii="Traditional Arabic" w:hAnsi="Traditional Arabic" w:cs="Traditional Arabic"/>
          <w:sz w:val="24"/>
          <w:szCs w:val="24"/>
          <w:rtl/>
          <w:lang w:bidi="ar-EG"/>
        </w:rPr>
        <w:t>159،168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)</w:t>
      </w:r>
      <w:r w:rsidR="005E1339" w:rsidRPr="00C62AB2">
        <w:rPr>
          <w:rFonts w:ascii="Traditional Arabic" w:hAnsi="Traditional Arabic" w:cs="Traditional Arabic"/>
          <w:sz w:val="24"/>
          <w:szCs w:val="24"/>
          <w:rtl/>
          <w:lang w:bidi="ar-EG"/>
        </w:rPr>
        <w:t>، مفاهيم يجب أن تصحح،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 xml:space="preserve"> محمد علوي المالكي،</w:t>
      </w:r>
      <w:r w:rsidR="005E1339" w:rsidRPr="00C62AB2">
        <w:rPr>
          <w:rFonts w:ascii="Traditional Arabic" w:hAnsi="Traditional Arabic" w:cs="Traditional Arabic"/>
          <w:sz w:val="24"/>
          <w:szCs w:val="24"/>
          <w:rtl/>
          <w:lang w:bidi="ar-EG"/>
        </w:rPr>
        <w:t xml:space="preserve"> ص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(</w:t>
      </w:r>
      <w:r w:rsidR="005E1339" w:rsidRPr="00C62AB2">
        <w:rPr>
          <w:rFonts w:ascii="Traditional Arabic" w:hAnsi="Traditional Arabic" w:cs="Traditional Arabic"/>
          <w:sz w:val="24"/>
          <w:szCs w:val="24"/>
          <w:rtl/>
          <w:lang w:bidi="ar-EG"/>
        </w:rPr>
        <w:t>85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)</w:t>
      </w:r>
      <w:r w:rsidR="005E1339" w:rsidRPr="00C62AB2">
        <w:rPr>
          <w:rFonts w:ascii="Traditional Arabic" w:hAnsi="Traditional Arabic" w:cs="Traditional Arabic"/>
          <w:sz w:val="24"/>
          <w:szCs w:val="24"/>
          <w:rtl/>
          <w:lang w:bidi="ar-EG"/>
        </w:rPr>
        <w:t>، وانظر: الصراع بين الإسلام والوثنية،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القصيمي</w:t>
      </w:r>
      <w:proofErr w:type="spellEnd"/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،</w:t>
      </w:r>
      <w:r w:rsidR="005E1339" w:rsidRPr="00C62AB2">
        <w:rPr>
          <w:rFonts w:ascii="Traditional Arabic" w:hAnsi="Traditional Arabic" w:cs="Traditional Arabic"/>
          <w:sz w:val="24"/>
          <w:szCs w:val="24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(</w:t>
      </w:r>
      <w:r w:rsidR="005E1339" w:rsidRPr="00C62AB2">
        <w:rPr>
          <w:rFonts w:ascii="Traditional Arabic" w:hAnsi="Traditional Arabic" w:cs="Traditional Arabic"/>
          <w:sz w:val="24"/>
          <w:szCs w:val="24"/>
          <w:rtl/>
          <w:lang w:bidi="ar-EG"/>
        </w:rPr>
        <w:t>2/457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)</w:t>
      </w:r>
      <w:r w:rsidR="005E1339" w:rsidRPr="00C62AB2">
        <w:rPr>
          <w:rFonts w:ascii="Traditional Arabic" w:hAnsi="Traditional Arabic" w:cs="Traditional Arabic"/>
          <w:sz w:val="24"/>
          <w:szCs w:val="24"/>
          <w:rtl/>
          <w:lang w:bidi="ar-EG"/>
        </w:rPr>
        <w:t>.</w:t>
      </w:r>
    </w:p>
  </w:footnote>
  <w:footnote w:id="2">
    <w:p w:rsidR="005E1339" w:rsidRPr="00C62AB2" w:rsidRDefault="00506319" w:rsidP="00C62AB2">
      <w:pPr>
        <w:pStyle w:val="a4"/>
        <w:jc w:val="both"/>
        <w:rPr>
          <w:rFonts w:ascii="Traditional Arabic" w:hAnsi="Traditional Arabic" w:cs="Traditional Arabic"/>
          <w:sz w:val="24"/>
          <w:szCs w:val="24"/>
          <w:rtl/>
        </w:rPr>
      </w:pP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(</w:t>
      </w:r>
      <w:r w:rsidRPr="00C62AB2">
        <w:rPr>
          <w:rStyle w:val="a5"/>
          <w:rFonts w:ascii="Traditional Arabic" w:hAnsi="Traditional Arabic" w:cs="Traditional Arabic"/>
          <w:sz w:val="24"/>
          <w:szCs w:val="24"/>
          <w:vertAlign w:val="baseline"/>
        </w:rPr>
        <w:footnoteRef/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)</w:t>
      </w:r>
      <w:r w:rsidR="005E1339" w:rsidRPr="00C62AB2">
        <w:rPr>
          <w:rFonts w:ascii="Traditional Arabic" w:hAnsi="Traditional Arabic" w:cs="Traditional Arabic"/>
          <w:sz w:val="24"/>
          <w:szCs w:val="24"/>
          <w:rtl/>
        </w:rPr>
        <w:t xml:space="preserve"> الدرر السنية،</w:t>
      </w:r>
      <w:r>
        <w:rPr>
          <w:rFonts w:ascii="Traditional Arabic" w:hAnsi="Traditional Arabic" w:cs="Traditional Arabic" w:hint="cs"/>
          <w:sz w:val="24"/>
          <w:szCs w:val="24"/>
          <w:rtl/>
        </w:rPr>
        <w:t xml:space="preserve"> دحلان،</w:t>
      </w:r>
      <w:r w:rsidR="005E1339" w:rsidRPr="00C62AB2">
        <w:rPr>
          <w:rFonts w:ascii="Traditional Arabic" w:hAnsi="Traditional Arabic" w:cs="Traditional Arabic"/>
          <w:sz w:val="24"/>
          <w:szCs w:val="24"/>
          <w:rtl/>
        </w:rPr>
        <w:t xml:space="preserve"> ص</w:t>
      </w:r>
      <w:r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5E1339" w:rsidRPr="00C62AB2">
        <w:rPr>
          <w:rFonts w:ascii="Traditional Arabic" w:hAnsi="Traditional Arabic" w:cs="Traditional Arabic"/>
          <w:sz w:val="24"/>
          <w:szCs w:val="24"/>
          <w:rtl/>
        </w:rPr>
        <w:t>17</w:t>
      </w:r>
      <w:r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5E1339" w:rsidRPr="00C62AB2">
        <w:rPr>
          <w:rFonts w:ascii="Traditional Arabic" w:hAnsi="Traditional Arabic" w:cs="Traditional Arabic"/>
          <w:sz w:val="24"/>
          <w:szCs w:val="24"/>
          <w:rtl/>
        </w:rPr>
        <w:t>.</w:t>
      </w:r>
    </w:p>
  </w:footnote>
  <w:footnote w:id="3">
    <w:p w:rsidR="005E1339" w:rsidRPr="00C62AB2" w:rsidRDefault="00506319" w:rsidP="00506319">
      <w:pPr>
        <w:pStyle w:val="a4"/>
        <w:jc w:val="both"/>
        <w:rPr>
          <w:rFonts w:ascii="Traditional Arabic" w:hAnsi="Traditional Arabic" w:cs="Traditional Arabic"/>
          <w:sz w:val="24"/>
          <w:szCs w:val="24"/>
          <w:rtl/>
          <w:lang w:bidi="ar-EG"/>
        </w:rPr>
      </w:pP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(</w:t>
      </w:r>
      <w:r w:rsidRPr="00C62AB2">
        <w:rPr>
          <w:rStyle w:val="a5"/>
          <w:rFonts w:ascii="Traditional Arabic" w:hAnsi="Traditional Arabic" w:cs="Traditional Arabic"/>
          <w:sz w:val="24"/>
          <w:szCs w:val="24"/>
          <w:vertAlign w:val="baseline"/>
        </w:rPr>
        <w:footnoteRef/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)</w:t>
      </w:r>
      <w:r w:rsidR="005E1339" w:rsidRPr="00C62AB2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5E1339" w:rsidRPr="00C62AB2">
        <w:rPr>
          <w:rFonts w:ascii="Traditional Arabic" w:hAnsi="Traditional Arabic" w:cs="Traditional Arabic"/>
          <w:sz w:val="24"/>
          <w:szCs w:val="24"/>
          <w:rtl/>
          <w:lang w:bidi="ar-EG"/>
        </w:rPr>
        <w:t>صيانة الإنسان،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 xml:space="preserve"> دحلان،</w:t>
      </w:r>
      <w:r w:rsidR="005E1339" w:rsidRPr="00C62AB2">
        <w:rPr>
          <w:rFonts w:ascii="Traditional Arabic" w:hAnsi="Traditional Arabic" w:cs="Traditional Arabic"/>
          <w:sz w:val="24"/>
          <w:szCs w:val="24"/>
          <w:rtl/>
          <w:lang w:bidi="ar-EG"/>
        </w:rPr>
        <w:t xml:space="preserve"> ص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(</w:t>
      </w:r>
      <w:r w:rsidR="005E1339" w:rsidRPr="00C62AB2">
        <w:rPr>
          <w:rFonts w:ascii="Traditional Arabic" w:hAnsi="Traditional Arabic" w:cs="Traditional Arabic"/>
          <w:sz w:val="24"/>
          <w:szCs w:val="24"/>
          <w:rtl/>
          <w:lang w:bidi="ar-EG"/>
        </w:rPr>
        <w:t>214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C57DA"/>
    <w:multiLevelType w:val="hybridMultilevel"/>
    <w:tmpl w:val="6F14ADFA"/>
    <w:lvl w:ilvl="0" w:tplc="F9FA7502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339"/>
    <w:rsid w:val="001E6927"/>
    <w:rsid w:val="002078CA"/>
    <w:rsid w:val="00452906"/>
    <w:rsid w:val="004F4871"/>
    <w:rsid w:val="00506319"/>
    <w:rsid w:val="00580932"/>
    <w:rsid w:val="005E1339"/>
    <w:rsid w:val="005F3266"/>
    <w:rsid w:val="00834E6C"/>
    <w:rsid w:val="00C62AB2"/>
    <w:rsid w:val="00CB447C"/>
    <w:rsid w:val="00E86321"/>
    <w:rsid w:val="00F66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EB17403-D26A-4E9A-8BD1-2AB69086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33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339"/>
    <w:pPr>
      <w:ind w:left="720"/>
      <w:contextualSpacing/>
    </w:pPr>
  </w:style>
  <w:style w:type="paragraph" w:styleId="a4">
    <w:name w:val="footnote text"/>
    <w:basedOn w:val="a"/>
    <w:link w:val="Char"/>
    <w:uiPriority w:val="99"/>
    <w:semiHidden/>
    <w:unhideWhenUsed/>
    <w:rsid w:val="005E1339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5E133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E13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ayman mesbah</cp:lastModifiedBy>
  <cp:revision>6</cp:revision>
  <dcterms:created xsi:type="dcterms:W3CDTF">2016-03-01T13:15:00Z</dcterms:created>
  <dcterms:modified xsi:type="dcterms:W3CDTF">2016-06-20T13:04:00Z</dcterms:modified>
</cp:coreProperties>
</file>