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92" w:rsidRPr="00A52790" w:rsidRDefault="00714392" w:rsidP="00A52790">
      <w:pPr>
        <w:spacing w:before="120" w:after="12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A52790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لا يصح جعل الاستغاثة بمعنى التوسل</w:t>
      </w:r>
    </w:p>
    <w:p w:rsidR="005A5A88" w:rsidRPr="00A52790" w:rsidRDefault="005A5A88" w:rsidP="00A52790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يخلط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كثير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المبتدعة ما بين مفهومي الاستغاثة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والتوسل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، فقد جعلوا الاستغاثة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بمعنى التوسل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، وبذلك جعلوا الحكم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الاستغاثة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هو عين الحكم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التوسل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، ثم يستدلون على جواز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التوسل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إما بما لا يصح الاستدلال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به،</w:t>
      </w:r>
      <w:bookmarkStart w:id="0" w:name="_GoBack"/>
      <w:bookmarkEnd w:id="0"/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أو بما هو دال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ٌّ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التوسل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المشروع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، ويجعلون ذلك دليلًا على جواز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الاستغاثة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بالأموات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، وطلب</w:t>
      </w:r>
      <w:r w:rsidR="00713423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الحوائج منهم.</w:t>
      </w:r>
    </w:p>
    <w:p w:rsidR="005A5A88" w:rsidRPr="00A52790" w:rsidRDefault="005A5A88" w:rsidP="00A52790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A52790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الرد:</w:t>
      </w:r>
    </w:p>
    <w:p w:rsidR="00714392" w:rsidRPr="00A52790" w:rsidRDefault="00714392" w:rsidP="00A52790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A5279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هذا مخالف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للغة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العرب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، فإن ما تفهم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ه العرب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الاستغاثة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هو طلب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الغوث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المستغاث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به، فيكون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هو الفاعل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للإغاثة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، وأما التوسل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فهو سؤال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للمتوس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إليه بالمتوس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به، والتوسل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الله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بأحد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خلق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ه هو جعل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ذلك الأحد سببًا في إجابة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الدعاء، أما الاستغاثة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بأحد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الخلق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فهو سؤال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 نفسه، وطلب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منه أن يقضي المطلوب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بالسؤال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714392" w:rsidRPr="00A52790" w:rsidRDefault="00714392" w:rsidP="00A52790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A5279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تغيير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أ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سماء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ِ،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فتسمية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المبتدعة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الاستغاثة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توسل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ا لا يغير من حقيقة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الأمر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ِ،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وما هو إلا تسمية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الشيء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بغير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اسمه الدال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معناه، وهذا ما قد فعله المشركون السابقون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 تعالى: </w:t>
      </w:r>
      <w:r w:rsidR="005A5A88" w:rsidRPr="00A52790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{وَالَّذِينَ اتَّخَذُوا مِنْ دُونِهِ أَوْلِيَاءَ مَا نَعْبُدُهُمْ إِلَّا لِيُقَرِّبُونَا إِلَى اللَّهِ زُلْفَى}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[الزمر: 3]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5A5A88" w:rsidRPr="00A52790" w:rsidRDefault="00714392" w:rsidP="00A52790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A5279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يقول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الإمام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أبو بكر بن العربي المالكي </w:t>
      </w:r>
      <w:proofErr w:type="gramStart"/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رحمه</w:t>
      </w:r>
      <w:proofErr w:type="gramEnd"/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C169D8" w:rsidRPr="00A52790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إن الأحكام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تتعلق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بمسميات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الأسماء لا بألقابها ولا بالتسمية</w:t>
      </w:r>
      <w:r w:rsidR="00C169D8" w:rsidRPr="00A52790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Pr="00A52790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5A5A88" w:rsidRPr="00A52790">
        <w:rPr>
          <w:rStyle w:val="a4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Pr="00A52790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، فالحكم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الاستغاثة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بالأموات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والغائبين مستنده المعنى الصحيح المأخوذ من دلالة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الشرع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ووضع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اللغة، أما ما يصيب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الأفهام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تشوش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وغبش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فلا التفات إليه هنا، وإن فرحت به نفوس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تكاد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ح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ص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ى كثرة</w:t>
      </w:r>
      <w:r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5A5A88" w:rsidRPr="00A52790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5A5A88" w:rsidRPr="00A52790" w:rsidRDefault="005A5A88" w:rsidP="00A52790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:rsidR="005A7F30" w:rsidRPr="00A52790" w:rsidRDefault="005A7F30" w:rsidP="00A52790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</w:p>
    <w:sectPr w:rsidR="005A7F30" w:rsidRPr="00A52790" w:rsidSect="00A52790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9A2" w:rsidRDefault="008519A2" w:rsidP="005A5A88">
      <w:pPr>
        <w:spacing w:after="0" w:line="240" w:lineRule="auto"/>
      </w:pPr>
      <w:r>
        <w:separator/>
      </w:r>
    </w:p>
  </w:endnote>
  <w:endnote w:type="continuationSeparator" w:id="0">
    <w:p w:rsidR="008519A2" w:rsidRDefault="008519A2" w:rsidP="005A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9A2" w:rsidRDefault="008519A2" w:rsidP="005A5A88">
      <w:pPr>
        <w:spacing w:after="0" w:line="240" w:lineRule="auto"/>
      </w:pPr>
      <w:r>
        <w:separator/>
      </w:r>
    </w:p>
  </w:footnote>
  <w:footnote w:type="continuationSeparator" w:id="0">
    <w:p w:rsidR="008519A2" w:rsidRDefault="008519A2" w:rsidP="005A5A88">
      <w:pPr>
        <w:spacing w:after="0" w:line="240" w:lineRule="auto"/>
      </w:pPr>
      <w:r>
        <w:continuationSeparator/>
      </w:r>
    </w:p>
  </w:footnote>
  <w:footnote w:id="1">
    <w:p w:rsidR="005A5A88" w:rsidRPr="00714392" w:rsidRDefault="00714392" w:rsidP="00714392">
      <w:pPr>
        <w:pStyle w:val="a3"/>
        <w:rPr>
          <w:rFonts w:cs="Traditional Arabic"/>
          <w:sz w:val="24"/>
          <w:szCs w:val="24"/>
          <w:rtl/>
          <w:lang w:bidi="ar-EG"/>
        </w:rPr>
      </w:pPr>
      <w:r w:rsidRPr="00714392">
        <w:rPr>
          <w:rFonts w:cs="Traditional Arabic" w:hint="cs"/>
          <w:sz w:val="24"/>
          <w:szCs w:val="24"/>
          <w:rtl/>
        </w:rPr>
        <w:t>(</w:t>
      </w:r>
      <w:r w:rsidRPr="00714392">
        <w:rPr>
          <w:rStyle w:val="a4"/>
          <w:rFonts w:cs="Traditional Arabic"/>
          <w:sz w:val="24"/>
          <w:szCs w:val="24"/>
          <w:vertAlign w:val="baseline"/>
        </w:rPr>
        <w:footnoteRef/>
      </w:r>
      <w:r w:rsidRPr="00714392">
        <w:rPr>
          <w:rFonts w:cs="Traditional Arabic" w:hint="cs"/>
          <w:sz w:val="24"/>
          <w:szCs w:val="24"/>
          <w:rtl/>
        </w:rPr>
        <w:t>)</w:t>
      </w:r>
      <w:r w:rsidR="005A5A88" w:rsidRPr="00714392">
        <w:rPr>
          <w:rFonts w:cs="Traditional Arabic"/>
          <w:sz w:val="24"/>
          <w:szCs w:val="24"/>
          <w:rtl/>
        </w:rPr>
        <w:t xml:space="preserve"> </w:t>
      </w:r>
      <w:r w:rsidR="005A5A88" w:rsidRPr="00714392">
        <w:rPr>
          <w:rFonts w:cs="Traditional Arabic" w:hint="cs"/>
          <w:sz w:val="24"/>
          <w:szCs w:val="24"/>
          <w:rtl/>
          <w:lang w:bidi="ar-EG"/>
        </w:rPr>
        <w:t>نقلًا عن فتح الباري</w:t>
      </w:r>
      <w:r w:rsidRPr="00714392">
        <w:rPr>
          <w:rFonts w:cs="Traditional Arabic" w:hint="cs"/>
          <w:sz w:val="24"/>
          <w:szCs w:val="24"/>
          <w:rtl/>
          <w:lang w:bidi="ar-EG"/>
        </w:rPr>
        <w:t>،</w:t>
      </w:r>
      <w:r w:rsidR="005A5A88" w:rsidRPr="00714392">
        <w:rPr>
          <w:rFonts w:cs="Traditional Arabic" w:hint="cs"/>
          <w:sz w:val="24"/>
          <w:szCs w:val="24"/>
          <w:rtl/>
          <w:lang w:bidi="ar-EG"/>
        </w:rPr>
        <w:t xml:space="preserve"> ابن حجر، </w:t>
      </w:r>
      <w:r w:rsidRPr="00714392">
        <w:rPr>
          <w:rFonts w:cs="Traditional Arabic" w:hint="cs"/>
          <w:sz w:val="24"/>
          <w:szCs w:val="24"/>
          <w:rtl/>
          <w:lang w:bidi="ar-EG"/>
        </w:rPr>
        <w:t>(</w:t>
      </w:r>
      <w:r w:rsidR="005A5A88" w:rsidRPr="00714392">
        <w:rPr>
          <w:rFonts w:cs="Traditional Arabic" w:hint="cs"/>
          <w:sz w:val="24"/>
          <w:szCs w:val="24"/>
          <w:rtl/>
          <w:lang w:bidi="ar-EG"/>
        </w:rPr>
        <w:t>10/58</w:t>
      </w:r>
      <w:r w:rsidRPr="00714392">
        <w:rPr>
          <w:rFonts w:cs="Traditional Arabic" w:hint="cs"/>
          <w:sz w:val="24"/>
          <w:szCs w:val="24"/>
          <w:rtl/>
          <w:lang w:bidi="ar-EG"/>
        </w:rPr>
        <w:t>)</w:t>
      </w:r>
      <w:r w:rsidR="005A5A88" w:rsidRPr="00714392">
        <w:rPr>
          <w:rFonts w:cs="Traditional Arabic" w:hint="cs"/>
          <w:sz w:val="24"/>
          <w:szCs w:val="24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36FCE"/>
    <w:multiLevelType w:val="hybridMultilevel"/>
    <w:tmpl w:val="02108766"/>
    <w:lvl w:ilvl="0" w:tplc="794615D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A88"/>
    <w:rsid w:val="002078CA"/>
    <w:rsid w:val="005A5A88"/>
    <w:rsid w:val="005A7F30"/>
    <w:rsid w:val="00713423"/>
    <w:rsid w:val="00714392"/>
    <w:rsid w:val="008519A2"/>
    <w:rsid w:val="008C47E9"/>
    <w:rsid w:val="00993BB6"/>
    <w:rsid w:val="00A52790"/>
    <w:rsid w:val="00C15CF8"/>
    <w:rsid w:val="00C16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83A427-D830-413E-A33D-E0E400E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A5A88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5A5A88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5A5A88"/>
    <w:rPr>
      <w:vertAlign w:val="superscript"/>
    </w:rPr>
  </w:style>
  <w:style w:type="paragraph" w:styleId="a5">
    <w:name w:val="List Paragraph"/>
    <w:basedOn w:val="a"/>
    <w:uiPriority w:val="34"/>
    <w:qFormat/>
    <w:rsid w:val="005A5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5</cp:revision>
  <dcterms:created xsi:type="dcterms:W3CDTF">2016-03-01T13:20:00Z</dcterms:created>
  <dcterms:modified xsi:type="dcterms:W3CDTF">2016-06-21T11:30:00Z</dcterms:modified>
</cp:coreProperties>
</file>