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5" w:rsidRPr="00C67489" w:rsidRDefault="00327225" w:rsidP="00C67489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ذكر النبي عن خدر الرجل من باب الاستغاثة؟</w:t>
      </w:r>
    </w:p>
    <w:p w:rsidR="009F3189" w:rsidRPr="00C67489" w:rsidRDefault="009F3189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جواز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بالنبي </w:t>
      </w:r>
      <w:r w:rsidR="00C674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بالآثار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فيها ذكر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C674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 خ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در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gramStart"/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الرجل</w:t>
      </w:r>
      <w:r w:rsidR="00327225" w:rsidRPr="00C67489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C67489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327225" w:rsidRPr="00C67489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ومن ذلك ما جاء عن ابن عمر 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- 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ضي الله عنه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ما -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 خدرت رجل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ه، فقيل له اذكر أحب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الناس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إليك، فقال: يا محمد.</w:t>
      </w:r>
    </w:p>
    <w:p w:rsidR="009F3189" w:rsidRPr="00C67489" w:rsidRDefault="009F3189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وكذلك ما جاء عن ابن عباس </w:t>
      </w:r>
      <w:proofErr w:type="gramStart"/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رضي</w:t>
      </w:r>
      <w:proofErr w:type="gramEnd"/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عنه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ما -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 قال لرجل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خدرت رجل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ه: اذكر أحب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الناس إليك، فقال الرجل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محمد </w:t>
      </w:r>
      <w:r w:rsidR="00C674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فذهب خدر</w:t>
      </w:r>
      <w:r w:rsidR="00327225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ه.</w:t>
      </w:r>
    </w:p>
    <w:p w:rsidR="009F3189" w:rsidRPr="00C67489" w:rsidRDefault="009F3189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327225" w:rsidRPr="00C67489" w:rsidRDefault="00327225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قال تعالى: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F3189" w:rsidRPr="00C67489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  <w:lang w:bidi="ar-EG"/>
        </w:rPr>
        <w:t>{هُوَ الْحَيُّ لَا إِلَهَ إِلَّا هُوَ فَادْعُوهُ مُخْلِصِينَ لَهُ الدِّينَ الْحَمْدُ لِلَّهِ رَبِّ الْعَالَمِينَ}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[غافر: 65]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327225" w:rsidRPr="00C67489" w:rsidRDefault="00327225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الشيخ محمد ناصر الدين الألباني</w:t>
      </w:r>
      <w:proofErr w:type="gramStart"/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BB736D" w:rsidRPr="00C67489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أنه</w:t>
      </w:r>
      <w:proofErr w:type="gramEnd"/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رواية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أبي إسحاق عنه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يعني عن الهيثم، وهو السبيعي، وهو مدل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س وقد عنعنه</w:t>
      </w:r>
      <w:r w:rsidR="00BB736D" w:rsidRPr="00C67489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C67489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F3189" w:rsidRPr="00C67489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C67489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، وهذا بالنسبة لأ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ثر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ما -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، أما أثر ابن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عباس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رضي الله عنه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ما -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فهو قد رواه ابن السني عن طريق غياث بن إبراهيم وهو متهم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بالوضع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فلا ي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تج بحديثه.</w:t>
      </w:r>
    </w:p>
    <w:p w:rsidR="00327225" w:rsidRPr="00C67489" w:rsidRDefault="00327225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أن الرواية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ليس فيها أنه دعاء النبي </w:t>
      </w:r>
      <w:r w:rsidR="00C674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ط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 شيئًا، بل هو ذ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لاسم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المحبوب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فقط، ولو كانت بحرف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النداء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 تكن دعاء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ولا استغاثة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، حيث إنها للندبة، أو لاستذكار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الحبيب.</w:t>
      </w:r>
    </w:p>
    <w:p w:rsidR="00327225" w:rsidRPr="00C67489" w:rsidRDefault="00327225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من المعروف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العرب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تذكر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الحبيب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 خدر الر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، وقد ذ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ر ذلك في أشعار</w:t>
      </w:r>
      <w:r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F3189" w:rsidRPr="00C67489">
        <w:rPr>
          <w:rFonts w:ascii="Traditional Arabic" w:hAnsi="Traditional Arabic" w:cs="Traditional Arabic"/>
          <w:sz w:val="32"/>
          <w:szCs w:val="32"/>
          <w:rtl/>
          <w:lang w:bidi="ar-EG"/>
        </w:rPr>
        <w:t>هم، ومن ذلك قول الشاعر:</w:t>
      </w:r>
    </w:p>
    <w:p w:rsidR="009F3189" w:rsidRPr="00C67489" w:rsidRDefault="009F3189" w:rsidP="00C67489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وما خ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َ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د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َ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ر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َ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ت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ْ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رجلاي إلا ذكرت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ك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ُ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م 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  <w:t xml:space="preserve">فيذهب عن رجلاي ما </w:t>
      </w:r>
      <w:proofErr w:type="gramStart"/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تجدان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ِ</w:t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EG"/>
        </w:rPr>
        <w:t>(</w:t>
      </w:r>
      <w:proofErr w:type="gramEnd"/>
      <w:r w:rsidRPr="00C67489">
        <w:rPr>
          <w:rStyle w:val="a5"/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footnoteReference w:id="3"/>
      </w:r>
      <w:r w:rsidR="00327225" w:rsidRPr="00C67489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EG"/>
        </w:rPr>
        <w:t>)</w:t>
      </w:r>
      <w:r w:rsidRPr="00C6748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.</w:t>
      </w:r>
    </w:p>
    <w:p w:rsidR="009F3189" w:rsidRPr="00C67489" w:rsidRDefault="009F3189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bookmarkStart w:id="0" w:name="_GoBack"/>
      <w:bookmarkEnd w:id="0"/>
    </w:p>
    <w:p w:rsidR="004F4871" w:rsidRPr="00C67489" w:rsidRDefault="004F4871" w:rsidP="00C67489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4F4871" w:rsidRPr="00C67489" w:rsidSect="00AA7B9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E6" w:rsidRDefault="00F231E6" w:rsidP="009F3189">
      <w:pPr>
        <w:spacing w:after="0" w:line="240" w:lineRule="auto"/>
      </w:pPr>
      <w:r>
        <w:separator/>
      </w:r>
    </w:p>
  </w:endnote>
  <w:endnote w:type="continuationSeparator" w:id="0">
    <w:p w:rsidR="00F231E6" w:rsidRDefault="00F231E6" w:rsidP="009F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E6" w:rsidRDefault="00F231E6" w:rsidP="009F3189">
      <w:pPr>
        <w:spacing w:after="0" w:line="240" w:lineRule="auto"/>
      </w:pPr>
      <w:r>
        <w:separator/>
      </w:r>
    </w:p>
  </w:footnote>
  <w:footnote w:type="continuationSeparator" w:id="0">
    <w:p w:rsidR="00F231E6" w:rsidRDefault="00F231E6" w:rsidP="009F3189">
      <w:pPr>
        <w:spacing w:after="0" w:line="240" w:lineRule="auto"/>
      </w:pPr>
      <w:r>
        <w:continuationSeparator/>
      </w:r>
    </w:p>
  </w:footnote>
  <w:footnote w:id="1">
    <w:p w:rsidR="009F3189" w:rsidRPr="00327225" w:rsidRDefault="00327225" w:rsidP="00327225">
      <w:pPr>
        <w:pStyle w:val="a4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327225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الدرر السنية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في الرد على الوهابية، أحمد زيني دحلان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، ص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35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، مفاهيم يجب أن تصحح،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محمد قطب،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ص(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147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، وانظر: فتح المنان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لألوسي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375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، الرد على شبهات المستغيثين بغير الله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ابن عيسى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95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، الصراع بين الإسلام والوثنية،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عبد الله القصيمي،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2/329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2">
    <w:p w:rsidR="009F3189" w:rsidRPr="00327225" w:rsidRDefault="00327225" w:rsidP="00327225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327225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تخريج أحاديث الكلم الطيب،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الألباني،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120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9F3189" w:rsidRPr="00327225" w:rsidRDefault="00327225" w:rsidP="00327225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327225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الحماسة البصرية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علي بن الحسن البصري،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2/105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9F3189" w:rsidRPr="00327225">
        <w:rPr>
          <w:rFonts w:ascii="Traditional Arabic" w:hAnsi="Traditional Arabic" w:cs="Traditional Arabic"/>
          <w:sz w:val="24"/>
          <w:szCs w:val="24"/>
          <w:rtl/>
          <w:lang w:bidi="ar-EG"/>
        </w:rPr>
        <w:t>، ونسب البيت إلى الأقيشر.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7DA"/>
    <w:multiLevelType w:val="hybridMultilevel"/>
    <w:tmpl w:val="6F14ADFA"/>
    <w:lvl w:ilvl="0" w:tplc="F9FA75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189"/>
    <w:rsid w:val="002078CA"/>
    <w:rsid w:val="00327225"/>
    <w:rsid w:val="004F4871"/>
    <w:rsid w:val="00952C11"/>
    <w:rsid w:val="009F3189"/>
    <w:rsid w:val="00A400BF"/>
    <w:rsid w:val="00AA7B9A"/>
    <w:rsid w:val="00AF761A"/>
    <w:rsid w:val="00BB736D"/>
    <w:rsid w:val="00C67489"/>
    <w:rsid w:val="00CF07B3"/>
    <w:rsid w:val="00F2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687A11-2D20-4F19-AF7B-004DB274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8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F318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F31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3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7</cp:revision>
  <dcterms:created xsi:type="dcterms:W3CDTF">2016-03-01T13:12:00Z</dcterms:created>
  <dcterms:modified xsi:type="dcterms:W3CDTF">2016-06-26T02:55:00Z</dcterms:modified>
</cp:coreProperties>
</file>