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B3" w:rsidRPr="00491251" w:rsidRDefault="001A16B3" w:rsidP="00491251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4912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هل كثرة الواقعين في </w:t>
      </w:r>
      <w:proofErr w:type="spellStart"/>
      <w:r w:rsidRPr="004912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الاستغاثات</w:t>
      </w:r>
      <w:proofErr w:type="spellEnd"/>
      <w:r w:rsidRPr="004912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من الأمة يعد إجماعًا على ذلك؟!</w:t>
      </w:r>
    </w:p>
    <w:p w:rsidR="00D31B75" w:rsidRPr="00491251" w:rsidRDefault="00D31B75" w:rsidP="0049125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1A16B3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 بكثرة</w:t>
      </w:r>
      <w:r w:rsidR="001A16B3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الواقعين في </w:t>
      </w:r>
      <w:proofErr w:type="spellStart"/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الاستغاثات</w:t>
      </w:r>
      <w:proofErr w:type="spellEnd"/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الأمة، وجعلهم هذا إجماعًا منها، والأمة لا تجتمع على </w:t>
      </w:r>
      <w:proofErr w:type="gramStart"/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ضلالة</w:t>
      </w:r>
      <w:r w:rsidR="001A16B3" w:rsidRPr="00491251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Pr="00491251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1A16B3" w:rsidRPr="00491251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1A16B3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D31B75" w:rsidRPr="00491251" w:rsidRDefault="00D31B75" w:rsidP="0049125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 w:hint="cs"/>
          <w:color w:val="FF0000"/>
          <w:sz w:val="32"/>
          <w:szCs w:val="32"/>
          <w:u w:val="single"/>
          <w:rtl/>
          <w:lang w:bidi="ar-EG"/>
        </w:rPr>
      </w:pPr>
      <w:r w:rsidRPr="0049125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الرد</w:t>
      </w:r>
      <w:r w:rsidRPr="00491251">
        <w:rPr>
          <w:rFonts w:ascii="Traditional Arabic" w:hAnsi="Traditional Arabic" w:cs="Traditional Arabic" w:hint="cs"/>
          <w:color w:val="FF0000"/>
          <w:sz w:val="32"/>
          <w:szCs w:val="32"/>
          <w:u w:val="single"/>
          <w:rtl/>
          <w:lang w:bidi="ar-EG"/>
        </w:rPr>
        <w:t>:</w:t>
      </w:r>
    </w:p>
    <w:p w:rsidR="001A16B3" w:rsidRPr="00491251" w:rsidRDefault="001A16B3" w:rsidP="0049125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9125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الحق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اتباع جماعة الحق والهدى، ولئن قل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بهم زمان أو مكان، فالنجاة في اتباع طريقهم ولو قل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السالكون، كما دل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عليه حديث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حذيفة </w:t>
      </w:r>
      <w:r w:rsidR="00491251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وفيه: 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((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قلت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فما تأم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ني إن أدر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ني ذلك؟ قال: 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ت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ل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ْ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ز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م جماعة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المسلمين وإمام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هم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قلت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فإن لم يكن لهم جماعة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ولا إمام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؟ قال: 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فاعتز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ل تلك الف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ر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ق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كل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َّ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ها ولو أن تعض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َّ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بأصل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شجرة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ٍ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، حتى يدرك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ك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الموت</w:t>
      </w:r>
      <w:r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وأنت على ذلك</w:t>
      </w:r>
      <w:proofErr w:type="gramStart"/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491251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="00D31B75" w:rsidRPr="00491251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491251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1A16B3" w:rsidRPr="00491251" w:rsidRDefault="001A16B3" w:rsidP="0049125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9125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ليس معيار الحق هو الكثرة أو القلة، بل مرد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ذلك إلى الآيات البينات، والحجج الظاهرات، ولقد أخبر الله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عن كثرة الناس الكاثرة التي أعرضت عن الإيمان والتوحيد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تعالى: 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{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وَمَا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أَكْثَرُ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النَّاسِ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وَلَوْ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حَرَصْتَ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بِمُؤْمِنِينَ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}</w:t>
      </w:r>
      <w:r w:rsidR="00D31B75" w:rsidRPr="0049125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="00D31B75" w:rsidRPr="00491251">
        <w:rPr>
          <w:rFonts w:ascii="Traditional Arabic" w:hAnsi="Traditional Arabic" w:cs="Traditional Arabic"/>
          <w:sz w:val="32"/>
          <w:szCs w:val="32"/>
          <w:rtl/>
          <w:lang w:bidi="ar-EG"/>
        </w:rPr>
        <w:t>[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يوسف</w:t>
      </w:r>
      <w:r w:rsidR="00D31B75" w:rsidRPr="00491251">
        <w:rPr>
          <w:rFonts w:ascii="Traditional Arabic" w:hAnsi="Traditional Arabic" w:cs="Traditional Arabic"/>
          <w:sz w:val="32"/>
          <w:szCs w:val="32"/>
          <w:rtl/>
          <w:lang w:bidi="ar-EG"/>
        </w:rPr>
        <w:t>: 103]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وقال تعالى: 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{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وَإِنْ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تُطِعْ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أَكْثَرَ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مَنْ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فِي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الْأَرْضِ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يُضِلُّوكَ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عَنْ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سَبِيلِ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اللَّهِ</w:t>
      </w:r>
      <w:r w:rsidR="00D31B75" w:rsidRPr="00491251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}</w:t>
      </w:r>
      <w:r w:rsidR="00D31B75" w:rsidRPr="0049125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الأنعام</w:t>
      </w:r>
      <w:r w:rsidR="00D31B75" w:rsidRPr="00491251">
        <w:rPr>
          <w:rFonts w:ascii="Traditional Arabic" w:hAnsi="Traditional Arabic" w:cs="Traditional Arabic"/>
          <w:sz w:val="32"/>
          <w:szCs w:val="32"/>
          <w:rtl/>
          <w:lang w:bidi="ar-EG"/>
        </w:rPr>
        <w:t>: 116]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فالكثرة حين تفقد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معنى الحق فلا يعبأ بها ولا يلتفت إليها.</w:t>
      </w:r>
    </w:p>
    <w:p w:rsidR="00D31B75" w:rsidRPr="00491251" w:rsidRDefault="001A16B3" w:rsidP="0049125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49125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الفضيل بن عياض </w:t>
      </w:r>
      <w:proofErr w:type="gramStart"/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</w:t>
      </w:r>
      <w:proofErr w:type="gramEnd"/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(الزم طرق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الهدى، ولا يضر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قلة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السالكين، وإياك وطرق الضلالة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ولا تغتر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بكثرة</w:t>
      </w:r>
      <w:r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الهالكين)</w:t>
      </w:r>
      <w:r w:rsidRPr="00491251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D31B75" w:rsidRPr="00491251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491251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D31B75" w:rsidRPr="0049125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D31B75" w:rsidRPr="00491251" w:rsidRDefault="00D31B75" w:rsidP="0049125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p w:rsidR="005A7F30" w:rsidRPr="00491251" w:rsidRDefault="005A7F30" w:rsidP="00491251">
      <w:pPr>
        <w:spacing w:before="120" w:after="160" w:line="240" w:lineRule="auto"/>
        <w:ind w:firstLine="227"/>
        <w:jc w:val="lowKashida"/>
        <w:rPr>
          <w:sz w:val="32"/>
          <w:szCs w:val="32"/>
        </w:rPr>
      </w:pPr>
    </w:p>
    <w:sectPr w:rsidR="005A7F30" w:rsidRPr="00491251" w:rsidSect="004D7C6A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20" w:rsidRDefault="009D4220" w:rsidP="00D31B75">
      <w:pPr>
        <w:spacing w:after="0" w:line="240" w:lineRule="auto"/>
      </w:pPr>
      <w:r>
        <w:separator/>
      </w:r>
    </w:p>
  </w:endnote>
  <w:endnote w:type="continuationSeparator" w:id="0">
    <w:p w:rsidR="009D4220" w:rsidRDefault="009D4220" w:rsidP="00D3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20" w:rsidRDefault="009D4220" w:rsidP="00D31B75">
      <w:pPr>
        <w:spacing w:after="0" w:line="240" w:lineRule="auto"/>
      </w:pPr>
      <w:r>
        <w:separator/>
      </w:r>
    </w:p>
  </w:footnote>
  <w:footnote w:type="continuationSeparator" w:id="0">
    <w:p w:rsidR="009D4220" w:rsidRDefault="009D4220" w:rsidP="00D31B75">
      <w:pPr>
        <w:spacing w:after="0" w:line="240" w:lineRule="auto"/>
      </w:pPr>
      <w:r>
        <w:continuationSeparator/>
      </w:r>
    </w:p>
  </w:footnote>
  <w:footnote w:id="1">
    <w:p w:rsidR="00D31B75" w:rsidRPr="00605E51" w:rsidRDefault="001A16B3" w:rsidP="001A16B3">
      <w:pPr>
        <w:pStyle w:val="a3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="00D31B75" w:rsidRPr="00605E5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31B75" w:rsidRPr="00605E51">
        <w:rPr>
          <w:rFonts w:cs="Traditional Arabic"/>
          <w:sz w:val="24"/>
          <w:szCs w:val="24"/>
          <w:rtl/>
        </w:rPr>
        <w:t xml:space="preserve"> 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الدرر السنية،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31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الصواعق الإلهية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سليمان بن عبد الوهاب،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32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شواهد الحق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ا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لنبهاني،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160-171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وانظر</w:t>
      </w:r>
      <w:r>
        <w:rPr>
          <w:rFonts w:cs="Traditional Arabic" w:hint="cs"/>
          <w:sz w:val="24"/>
          <w:szCs w:val="24"/>
          <w:rtl/>
          <w:lang w:bidi="ar-EG"/>
        </w:rPr>
        <w:t>: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صيانة الإنسان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raditional Arabic" w:hint="cs"/>
          <w:sz w:val="24"/>
          <w:szCs w:val="24"/>
          <w:rtl/>
          <w:lang w:bidi="ar-EG"/>
        </w:rPr>
        <w:t>ا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لسهسواني</w:t>
      </w:r>
      <w:proofErr w:type="spellEnd"/>
      <w:r w:rsidR="00D31B75" w:rsidRPr="00605E51">
        <w:rPr>
          <w:rFonts w:cs="Traditional Arabic" w:hint="cs"/>
          <w:sz w:val="24"/>
          <w:szCs w:val="24"/>
          <w:rtl/>
          <w:lang w:bidi="ar-EG"/>
        </w:rPr>
        <w:t>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303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الصراع بين الإسلام والوثنية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raditional Arabic" w:hint="cs"/>
          <w:sz w:val="24"/>
          <w:szCs w:val="24"/>
          <w:rtl/>
          <w:lang w:bidi="ar-EG"/>
        </w:rPr>
        <w:t>ا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لقصيمي</w:t>
      </w:r>
      <w:proofErr w:type="spellEnd"/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،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2/495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2">
    <w:p w:rsidR="00D31B75" w:rsidRPr="00605E51" w:rsidRDefault="001A16B3" w:rsidP="001A16B3">
      <w:pPr>
        <w:pStyle w:val="a3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Pr="00605E5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31B75" w:rsidRPr="00605E51">
        <w:rPr>
          <w:rFonts w:cs="Traditional Arabic"/>
          <w:sz w:val="24"/>
          <w:szCs w:val="24"/>
          <w:rtl/>
        </w:rPr>
        <w:t xml:space="preserve"> 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رواه البخاري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 xml:space="preserve">كتاب 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المناقب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باب علامات النبوة في الإسلام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3606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ومسلم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كتاب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الإمارة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باب وجوب ملازمة جماعة المسلمين عند ظهور الفتن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1847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3">
    <w:p w:rsidR="00D31B75" w:rsidRPr="00605E51" w:rsidRDefault="001A16B3" w:rsidP="001A16B3">
      <w:pPr>
        <w:pStyle w:val="a3"/>
        <w:jc w:val="both"/>
        <w:rPr>
          <w:rFonts w:cs="Traditional Arabic"/>
          <w:sz w:val="24"/>
          <w:szCs w:val="24"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Pr="00605E5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31B75" w:rsidRPr="00605E51">
        <w:rPr>
          <w:rFonts w:cs="Traditional Arabic"/>
          <w:sz w:val="24"/>
          <w:szCs w:val="24"/>
          <w:rtl/>
        </w:rPr>
        <w:t xml:space="preserve"> 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نقلًا عن صيانة الإنسان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raditional Arabic" w:hint="cs"/>
          <w:sz w:val="24"/>
          <w:szCs w:val="24"/>
          <w:rtl/>
          <w:lang w:bidi="ar-EG"/>
        </w:rPr>
        <w:t>ا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لسهسواني</w:t>
      </w:r>
      <w:proofErr w:type="spellEnd"/>
      <w:r w:rsidR="00D31B75" w:rsidRPr="00605E51">
        <w:rPr>
          <w:rFonts w:cs="Traditional Arabic" w:hint="cs"/>
          <w:sz w:val="24"/>
          <w:szCs w:val="24"/>
          <w:rtl/>
          <w:lang w:bidi="ar-EG"/>
        </w:rPr>
        <w:t>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308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وقد أشار إليه ابن القيم في المدارج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2/5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D31B75" w:rsidRPr="00605E51">
        <w:rPr>
          <w:rFonts w:cs="Traditional Arabic" w:hint="cs"/>
          <w:sz w:val="24"/>
          <w:szCs w:val="24"/>
          <w:rtl/>
          <w:lang w:bidi="ar-EG"/>
        </w:rPr>
        <w:t>، دون تعيين نسبة.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6FCE"/>
    <w:multiLevelType w:val="hybridMultilevel"/>
    <w:tmpl w:val="02108766"/>
    <w:lvl w:ilvl="0" w:tplc="794615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75"/>
    <w:rsid w:val="001A16B3"/>
    <w:rsid w:val="002078CA"/>
    <w:rsid w:val="002121FC"/>
    <w:rsid w:val="00420880"/>
    <w:rsid w:val="00491251"/>
    <w:rsid w:val="004D7C6A"/>
    <w:rsid w:val="005A7F30"/>
    <w:rsid w:val="00605E51"/>
    <w:rsid w:val="009D4220"/>
    <w:rsid w:val="00B56701"/>
    <w:rsid w:val="00D3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8B1F2D-E278-4B98-AF7C-EF8C002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31B7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31B7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31B75"/>
    <w:rPr>
      <w:vertAlign w:val="superscript"/>
    </w:rPr>
  </w:style>
  <w:style w:type="paragraph" w:styleId="a5">
    <w:name w:val="List Paragraph"/>
    <w:basedOn w:val="a"/>
    <w:uiPriority w:val="34"/>
    <w:qFormat/>
    <w:rsid w:val="00D3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5</cp:revision>
  <dcterms:created xsi:type="dcterms:W3CDTF">2016-03-01T13:21:00Z</dcterms:created>
  <dcterms:modified xsi:type="dcterms:W3CDTF">2016-06-27T16:20:00Z</dcterms:modified>
</cp:coreProperties>
</file>