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EBC" w:rsidRPr="000415A0" w:rsidRDefault="00076EBC" w:rsidP="000415A0">
      <w:pPr>
        <w:spacing w:before="120" w:after="160" w:line="240" w:lineRule="auto"/>
        <w:ind w:firstLine="227"/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EG"/>
        </w:rPr>
      </w:pPr>
      <w:r w:rsidRPr="00041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هل يصح الاستدلال على الاستغاثة بالنبي </w:t>
      </w:r>
      <w:r w:rsidR="00041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>صلى الله عليه وسلم</w:t>
      </w:r>
      <w:r w:rsidRPr="000415A0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EG"/>
        </w:rPr>
        <w:t xml:space="preserve"> بأنه حي في قبره</w:t>
      </w:r>
    </w:p>
    <w:p w:rsidR="0015226F" w:rsidRPr="000415A0" w:rsidRDefault="0015226F" w:rsidP="000415A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يستدل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ُّ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المبتدعة على جواز الاستغاثة </w:t>
      </w:r>
      <w:proofErr w:type="gramStart"/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بالنبي </w:t>
      </w:r>
      <w:proofErr w:type="gramEnd"/>
      <w:r w:rsid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proofErr w:type="gramStart"/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وأنه</w:t>
      </w:r>
      <w:proofErr w:type="gramEnd"/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حي في قبره؛ حيث أنه أفضل من الشهداء وأعلى منزلة منهم، وقد قال الله تعالى:</w:t>
      </w:r>
      <w:r w:rsidRPr="000415A0">
        <w:rPr>
          <w:sz w:val="32"/>
          <w:szCs w:val="32"/>
          <w:rtl/>
        </w:rPr>
        <w:t xml:space="preserve"> 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{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وَلَا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تَحْسَبَنَّ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الَّذِينَ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قُتِلُوا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فِي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سَبِيلِ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اللَّهِ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أَمْوَاتًا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بَلْ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أَحْيَاءٌ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عِنْدَ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رَبِّهِمْ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color w:val="FF0000"/>
          <w:sz w:val="32"/>
          <w:szCs w:val="32"/>
          <w:rtl/>
          <w:lang w:bidi="ar-EG"/>
        </w:rPr>
        <w:t>يُرْزَقُونَ</w:t>
      </w:r>
      <w:r w:rsidRPr="000415A0">
        <w:rPr>
          <w:rFonts w:ascii="Traditional Arabic" w:hAnsi="Traditional Arabic" w:cs="Traditional Arabic"/>
          <w:color w:val="FF0000"/>
          <w:sz w:val="32"/>
          <w:szCs w:val="32"/>
          <w:rtl/>
          <w:lang w:bidi="ar-EG"/>
        </w:rPr>
        <w:t>}</w:t>
      </w:r>
      <w:r w:rsidRPr="000415A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[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آل</w:t>
      </w:r>
      <w:r w:rsidRPr="000415A0">
        <w:rPr>
          <w:rFonts w:ascii="Traditional Arabic" w:hAnsi="Traditional Arabic" w:cs="Traditional Arabic"/>
          <w:sz w:val="32"/>
          <w:szCs w:val="32"/>
          <w:rtl/>
          <w:lang w:bidi="ar-EG"/>
        </w:rPr>
        <w:t xml:space="preserve"> 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عمران</w:t>
      </w:r>
      <w:r w:rsidRPr="000415A0">
        <w:rPr>
          <w:rFonts w:ascii="Traditional Arabic" w:hAnsi="Traditional Arabic" w:cs="Traditional Arabic"/>
          <w:sz w:val="32"/>
          <w:szCs w:val="32"/>
          <w:rtl/>
          <w:lang w:bidi="ar-EG"/>
        </w:rPr>
        <w:t>: 169]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، فهو </w:t>
      </w:r>
      <w:r w:rsid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حي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ٌّ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باب أولى، وما دام الأمر كذلك فما المانع أن ي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سأل وي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طلب وي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ستغاث به؟</w:t>
      </w:r>
      <w:r w:rsidR="00076EBC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!</w:t>
      </w:r>
      <w:r w:rsidR="00076EBC" w:rsidRPr="000415A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Pr="000415A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1"/>
      </w:r>
      <w:r w:rsidR="00076EBC" w:rsidRPr="000415A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</w:p>
    <w:p w:rsidR="0015226F" w:rsidRPr="000415A0" w:rsidRDefault="0015226F" w:rsidP="000415A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b/>
          <w:bCs/>
          <w:color w:val="FF0000"/>
          <w:sz w:val="32"/>
          <w:szCs w:val="32"/>
          <w:u w:val="single"/>
          <w:rtl/>
          <w:lang w:bidi="ar-EG"/>
        </w:rPr>
      </w:pPr>
      <w:r w:rsidRPr="000415A0">
        <w:rPr>
          <w:rFonts w:ascii="Traditional Arabic" w:hAnsi="Traditional Arabic" w:cs="Traditional Arabic" w:hint="cs"/>
          <w:b/>
          <w:bCs/>
          <w:color w:val="FF0000"/>
          <w:sz w:val="32"/>
          <w:szCs w:val="32"/>
          <w:u w:val="single"/>
          <w:rtl/>
          <w:lang w:bidi="ar-EG"/>
        </w:rPr>
        <w:t>الرد:</w:t>
      </w:r>
      <w:bookmarkStart w:id="0" w:name="_GoBack"/>
      <w:bookmarkEnd w:id="0"/>
    </w:p>
    <w:p w:rsidR="00076EBC" w:rsidRPr="000415A0" w:rsidRDefault="00076EBC" w:rsidP="000415A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415A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أولًا: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حياة </w:t>
      </w:r>
      <w:proofErr w:type="gramStart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النبي </w:t>
      </w:r>
      <w:proofErr w:type="gramEnd"/>
      <w:r w:rsid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proofErr w:type="gramStart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في</w:t>
      </w:r>
      <w:proofErr w:type="gramEnd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قبره هي حياة أكمل من حياة الشهداء في قبورهم، ولكن هي ليست كحياته كما كان في الدنيا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بل هي حياة </w:t>
      </w:r>
      <w:proofErr w:type="spellStart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برزخية</w:t>
      </w:r>
      <w:proofErr w:type="spellEnd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مع الرفيق الأعلى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؛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الإمام ابن القيم 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رحمه الله 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- في نونيته: (لو كان حيًّ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ا حياة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دنيوية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ً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فلماذا كان تحت الأرض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إذ س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نة الرحمن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سبحانه أن يكون الحي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ُّ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في الدنيا يعيش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فوقها؟ ولماذا لا ي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ف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 أمت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ويفصل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بينهم في المسائل التي اختلفوا فيها؟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! ولِمَ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ل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م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يأت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الصحابة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proofErr w:type="gramStart"/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-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رضوان</w:t>
      </w:r>
      <w:proofErr w:type="gramEnd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الله عليهم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-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أو من بعدهم يشكون إليه بأس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من اعتدى عليهم).</w:t>
      </w:r>
    </w:p>
    <w:p w:rsidR="0015226F" w:rsidRPr="000415A0" w:rsidRDefault="00076EBC" w:rsidP="000415A0">
      <w:pPr>
        <w:spacing w:before="120" w:after="160" w:line="240" w:lineRule="auto"/>
        <w:ind w:firstLine="227"/>
        <w:jc w:val="lowKashida"/>
        <w:rPr>
          <w:rFonts w:ascii="Traditional Arabic" w:hAnsi="Traditional Arabic" w:cs="Traditional Arabic"/>
          <w:sz w:val="32"/>
          <w:szCs w:val="32"/>
          <w:rtl/>
          <w:lang w:bidi="ar-EG"/>
        </w:rPr>
      </w:pPr>
      <w:r w:rsidRPr="000415A0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EG"/>
        </w:rPr>
        <w:t>ثانيًا: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ما يترتب على معنى تلك الحياة، فبعد أن تقرر معنى تلك الحياة التي يعيشها النبي </w:t>
      </w:r>
      <w:r w:rsid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عند ربه، وأنها ليست كحياته الدنيوية كما كان فوق الأرض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فلا يشرع أن ي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ؤتى إليه وي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سأل وي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ستغاث به؛ إذ أن ذلك من أشد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ما نهى عنه، وحذ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َّ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ر أمت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منه، ما ر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و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ي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عن ابن </w:t>
      </w:r>
      <w:proofErr w:type="gramStart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عباس </w:t>
      </w:r>
      <w:r w:rsidRPr="000415A0">
        <w:rPr>
          <w:rFonts w:ascii="Traditional Arabic" w:hAnsi="Traditional Arabic" w:cs="Traditional Arabic" w:hint="cs"/>
          <w:sz w:val="32"/>
          <w:szCs w:val="32"/>
          <w:lang w:bidi="ar-EG"/>
        </w:rPr>
        <w:sym w:font="AGA Arabesque" w:char="F074"/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وهو</w:t>
      </w:r>
      <w:proofErr w:type="gramEnd"/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غلام، أن النبي </w:t>
      </w:r>
      <w:r w:rsid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صلى الله عليه وسلم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قال له: 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(يا غلام إني أعلم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ُ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 كلمات: احفظ الله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يحفظ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ك، احفظ الله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تجد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ه تجاهك، وإذا سألت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فاسأل الله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، وإذا استعنت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َ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فاستع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ِ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ن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ْ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 بالله</w:t>
      </w:r>
      <w:r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 xml:space="preserve">ِ 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...)</w:t>
      </w:r>
      <w:r w:rsidRPr="000415A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(</w:t>
      </w:r>
      <w:r w:rsidR="0015226F" w:rsidRPr="000415A0">
        <w:rPr>
          <w:rStyle w:val="a5"/>
          <w:rFonts w:ascii="Traditional Arabic" w:hAnsi="Traditional Arabic" w:cs="Traditional Arabic"/>
          <w:sz w:val="32"/>
          <w:szCs w:val="32"/>
          <w:rtl/>
          <w:lang w:bidi="ar-EG"/>
        </w:rPr>
        <w:footnoteReference w:id="2"/>
      </w:r>
      <w:r w:rsidRPr="000415A0">
        <w:rPr>
          <w:rFonts w:ascii="Traditional Arabic" w:hAnsi="Traditional Arabic" w:cs="Traditional Arabic" w:hint="cs"/>
          <w:sz w:val="32"/>
          <w:szCs w:val="32"/>
          <w:vertAlign w:val="superscript"/>
          <w:rtl/>
          <w:lang w:bidi="ar-EG"/>
        </w:rPr>
        <w:t>)</w:t>
      </w:r>
      <w:r w:rsidR="0015226F" w:rsidRPr="000415A0">
        <w:rPr>
          <w:rFonts w:ascii="Traditional Arabic" w:hAnsi="Traditional Arabic" w:cs="Traditional Arabic" w:hint="cs"/>
          <w:sz w:val="32"/>
          <w:szCs w:val="32"/>
          <w:rtl/>
          <w:lang w:bidi="ar-EG"/>
        </w:rPr>
        <w:t>.</w:t>
      </w:r>
    </w:p>
    <w:p w:rsidR="004F4871" w:rsidRPr="000415A0" w:rsidRDefault="004F4871" w:rsidP="000415A0">
      <w:pPr>
        <w:spacing w:before="120" w:after="160" w:line="240" w:lineRule="auto"/>
        <w:ind w:firstLine="227"/>
        <w:jc w:val="lowKashida"/>
        <w:rPr>
          <w:sz w:val="32"/>
          <w:szCs w:val="32"/>
        </w:rPr>
      </w:pPr>
    </w:p>
    <w:sectPr w:rsidR="004F4871" w:rsidRPr="000415A0" w:rsidSect="000415A0"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E6E" w:rsidRDefault="00AE2E6E" w:rsidP="0015226F">
      <w:pPr>
        <w:spacing w:after="0" w:line="240" w:lineRule="auto"/>
      </w:pPr>
      <w:r>
        <w:separator/>
      </w:r>
    </w:p>
  </w:endnote>
  <w:endnote w:type="continuationSeparator" w:id="0">
    <w:p w:rsidR="00AE2E6E" w:rsidRDefault="00AE2E6E" w:rsidP="00152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E6E" w:rsidRDefault="00AE2E6E" w:rsidP="0015226F">
      <w:pPr>
        <w:spacing w:after="0" w:line="240" w:lineRule="auto"/>
      </w:pPr>
      <w:r>
        <w:separator/>
      </w:r>
    </w:p>
  </w:footnote>
  <w:footnote w:type="continuationSeparator" w:id="0">
    <w:p w:rsidR="00AE2E6E" w:rsidRDefault="00AE2E6E" w:rsidP="0015226F">
      <w:pPr>
        <w:spacing w:after="0" w:line="240" w:lineRule="auto"/>
      </w:pPr>
      <w:r>
        <w:continuationSeparator/>
      </w:r>
    </w:p>
  </w:footnote>
  <w:footnote w:id="1">
    <w:p w:rsidR="0015226F" w:rsidRPr="00076EBC" w:rsidRDefault="00076EBC" w:rsidP="00076EBC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="0015226F" w:rsidRPr="00076EBC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شفاء السقام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لسبكي،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321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، مصباح الأنام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علوي الحداد،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26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، المنحة </w:t>
      </w:r>
      <w:proofErr w:type="spellStart"/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الوهبية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داود بن جرجيس،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3/25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، شواهد الحق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لنبهاني،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ص(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141،161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، مفاهيم يجب أن تصحح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لمالكي، ص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1730،155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، وانظر: الصراع بين الإسلام والوثنية،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القصيمي</w:t>
      </w:r>
      <w:proofErr w:type="spellEnd"/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(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2/490،328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.</w:t>
      </w:r>
    </w:p>
  </w:footnote>
  <w:footnote w:id="2">
    <w:p w:rsidR="0015226F" w:rsidRPr="00076EBC" w:rsidRDefault="00076EBC" w:rsidP="00076EBC">
      <w:pPr>
        <w:pStyle w:val="a4"/>
        <w:jc w:val="both"/>
        <w:rPr>
          <w:rFonts w:ascii="Traditional Arabic" w:hAnsi="Traditional Arabic" w:cs="Traditional Arabic"/>
          <w:sz w:val="24"/>
          <w:szCs w:val="24"/>
          <w:rtl/>
          <w:lang w:bidi="ar-EG"/>
        </w:rPr>
      </w:pPr>
      <w:r>
        <w:rPr>
          <w:rFonts w:ascii="Traditional Arabic" w:hAnsi="Traditional Arabic" w:cs="Traditional Arabic" w:hint="cs"/>
          <w:sz w:val="24"/>
          <w:szCs w:val="24"/>
          <w:rtl/>
        </w:rPr>
        <w:t>(</w:t>
      </w:r>
      <w:r w:rsidRPr="00076EBC">
        <w:rPr>
          <w:rStyle w:val="a5"/>
          <w:rFonts w:ascii="Traditional Arabic" w:hAnsi="Traditional Arabic" w:cs="Traditional Arabic"/>
          <w:sz w:val="24"/>
          <w:szCs w:val="24"/>
          <w:vertAlign w:val="baseline"/>
        </w:rPr>
        <w:footnoteRef/>
      </w:r>
      <w:r>
        <w:rPr>
          <w:rFonts w:ascii="Traditional Arabic" w:hAnsi="Traditional Arabic" w:cs="Traditional Arabic" w:hint="cs"/>
          <w:sz w:val="24"/>
          <w:szCs w:val="24"/>
          <w:rtl/>
        </w:rPr>
        <w:t>)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</w:rPr>
        <w:t xml:space="preserve"> 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>رواه الترمذي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،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24"/>
          <w:szCs w:val="24"/>
          <w:rtl/>
          <w:lang w:bidi="ar-EG"/>
        </w:rPr>
        <w:t>كتاب</w:t>
      </w:r>
      <w:r w:rsidR="0015226F" w:rsidRPr="00076EBC">
        <w:rPr>
          <w:rFonts w:ascii="Traditional Arabic" w:hAnsi="Traditional Arabic" w:cs="Traditional Arabic"/>
          <w:sz w:val="24"/>
          <w:szCs w:val="24"/>
          <w:rtl/>
          <w:lang w:bidi="ar-EG"/>
        </w:rPr>
        <w:t xml:space="preserve"> صفة القيامة والرقائق والورع، (2516)، وقال الترمذي: حديث حسن صحيح.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0C57DA"/>
    <w:multiLevelType w:val="hybridMultilevel"/>
    <w:tmpl w:val="6F14ADFA"/>
    <w:lvl w:ilvl="0" w:tplc="F9FA750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226F"/>
    <w:rsid w:val="000415A0"/>
    <w:rsid w:val="00076EBC"/>
    <w:rsid w:val="0015226F"/>
    <w:rsid w:val="002078CA"/>
    <w:rsid w:val="003213DC"/>
    <w:rsid w:val="004F4871"/>
    <w:rsid w:val="005325FC"/>
    <w:rsid w:val="00A21940"/>
    <w:rsid w:val="00A25AD1"/>
    <w:rsid w:val="00AE2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087F8F5-609D-47D0-9A32-8199FAC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2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26F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15226F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4"/>
    <w:uiPriority w:val="99"/>
    <w:semiHidden/>
    <w:rsid w:val="0015226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522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ayman mesbah</cp:lastModifiedBy>
  <cp:revision>4</cp:revision>
  <dcterms:created xsi:type="dcterms:W3CDTF">2016-03-01T13:14:00Z</dcterms:created>
  <dcterms:modified xsi:type="dcterms:W3CDTF">2016-06-29T15:41:00Z</dcterms:modified>
</cp:coreProperties>
</file>