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AF" w:rsidRPr="009844C3" w:rsidRDefault="00474732" w:rsidP="00474732">
      <w:pPr>
        <w:spacing w:before="120" w:after="16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يستدل المبتدعة</w:t>
      </w:r>
      <w:r w:rsidR="000F492F" w:rsidRPr="009844C3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="000F492F" w:rsidRPr="009844C3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برواية</w:t>
      </w:r>
      <w:r>
        <w:rPr>
          <w:rFonts w:ascii="Traditional Arabic" w:hAnsi="Traditional Arabic" w:cs="Traditional Arabic"/>
          <w:b/>
          <w:bCs/>
          <w:sz w:val="32"/>
          <w:szCs w:val="32"/>
          <w:lang w:bidi="ar-EG"/>
        </w:rPr>
        <w:t xml:space="preserve"> </w:t>
      </w:r>
      <w:r w:rsidR="00351259" w:rsidRPr="009844C3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</w:rPr>
        <w:t>»</w:t>
      </w:r>
      <w:proofErr w:type="gramEnd"/>
      <w:r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</w:rPr>
        <w:t xml:space="preserve"> </w:t>
      </w:r>
      <w:r w:rsidR="000F492F" w:rsidRPr="009844C3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أفلح وأبيه إن صدق</w:t>
      </w:r>
      <w:r w:rsidR="00351259" w:rsidRPr="009844C3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</w:rPr>
        <w:t>«</w:t>
      </w:r>
      <w:r w:rsidR="001F0BA0" w:rsidRPr="009844C3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 على جواز الحلف بغير الله</w:t>
      </w:r>
    </w:p>
    <w:p w:rsidR="00027046" w:rsidRPr="009844C3" w:rsidRDefault="004D2A0A" w:rsidP="009844C3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يستدل المبتدعة بجواز الحلف بغير الله بالأحاديث والآثار التي ورد فيها الحلف بغير الله تعالى</w:t>
      </w:r>
      <w:r w:rsidR="00704B88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ومن </w:t>
      </w:r>
      <w:proofErr w:type="gramStart"/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ذلك</w:t>
      </w:r>
      <w:r w:rsidR="00704B88" w:rsidRPr="009844C3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proofErr w:type="gramEnd"/>
      <w:r w:rsidRPr="009844C3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704B88" w:rsidRPr="009844C3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:ما رواه طلحة بن عبيد الله </w:t>
      </w:r>
      <w:r w:rsidR="009844C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رضي الله عنه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قال: جاء رجل</w:t>
      </w:r>
      <w:r w:rsidR="00027046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إلى رسول الله </w:t>
      </w:r>
      <w:r w:rsid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أهل ن</w:t>
      </w:r>
      <w:r w:rsidR="00027046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ج</w:t>
      </w:r>
      <w:r w:rsidR="00027046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د</w:t>
      </w:r>
      <w:r w:rsidR="00027046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ثائر الرأس</w:t>
      </w:r>
      <w:r w:rsidR="00027046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نسمع دوي صوته</w:t>
      </w:r>
      <w:r w:rsidR="00027046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ولا نفقه ما يقول، حتى دنا من رسول الله </w:t>
      </w:r>
      <w:r w:rsid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فإذا هو يسأل عن الإسلام، فقال رسول الله </w:t>
      </w:r>
      <w:r w:rsid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351259" w:rsidRPr="009844C3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Pr="009844C3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خمس صلوات في اليوم والليلة</w:t>
      </w:r>
      <w:r w:rsidR="00351259" w:rsidRPr="009844C3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، فقال: هل عل</w:t>
      </w:r>
      <w:r w:rsidR="00027046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يَّ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غيرهن؟ قال: </w:t>
      </w:r>
      <w:r w:rsidR="00351259" w:rsidRPr="009844C3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Pr="009844C3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لا، إلا أن تطوع، وصيام شهر رمضان</w:t>
      </w:r>
      <w:r w:rsidR="00351259" w:rsidRPr="009844C3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، فقال: هل علي</w:t>
      </w:r>
      <w:r w:rsidR="00027046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غيره؟ فقال</w:t>
      </w:r>
      <w:proofErr w:type="gramStart"/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351259" w:rsidRPr="009844C3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Pr="009844C3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لا</w:t>
      </w:r>
      <w:proofErr w:type="gramEnd"/>
      <w:r w:rsidRPr="009844C3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، إلا أن تطوع</w:t>
      </w:r>
      <w:r w:rsidR="00351259" w:rsidRPr="009844C3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027046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4D2A0A" w:rsidRPr="009844C3" w:rsidRDefault="004D2A0A" w:rsidP="009844C3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وذكر له رسول الله </w:t>
      </w:r>
      <w:r w:rsid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الزكاة، فقال: هل علي غيرها؟ قال</w:t>
      </w:r>
      <w:proofErr w:type="gramStart"/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351259" w:rsidRPr="009844C3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Pr="009844C3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لا</w:t>
      </w:r>
      <w:proofErr w:type="gramEnd"/>
      <w:r w:rsidRPr="009844C3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، إلا أن تطوع</w:t>
      </w:r>
      <w:r w:rsidR="00351259" w:rsidRPr="009844C3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، قال: فأدبر الرجل وهو يقول: والله لا أزيد على هذا ولا أنقص منه، فقال رسول الله </w:t>
      </w:r>
      <w:r w:rsid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351259" w:rsidRPr="009844C3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Pr="009844C3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أفلح وأبيه إن صدق</w:t>
      </w:r>
      <w:r w:rsidR="00351259" w:rsidRPr="009844C3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أو </w:t>
      </w:r>
      <w:r w:rsidR="00351259" w:rsidRPr="009844C3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Pr="009844C3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دخل الجنة وأبيه إن صدق</w:t>
      </w:r>
      <w:r w:rsidR="00351259" w:rsidRPr="009844C3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4D2A0A" w:rsidRPr="009844C3" w:rsidRDefault="004D2A0A" w:rsidP="009844C3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EG"/>
        </w:rPr>
      </w:pPr>
      <w:r w:rsidRPr="009844C3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>الرد:</w:t>
      </w:r>
    </w:p>
    <w:p w:rsidR="00027046" w:rsidRPr="009844C3" w:rsidRDefault="00027046" w:rsidP="009844C3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9844C3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أولًا: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هذا الحديث </w:t>
      </w:r>
      <w:r w:rsidR="004D2A0A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قد رواه مسلم من طريق غير هذا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="004D2A0A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proofErr w:type="gramStart"/>
      <w:r w:rsidR="004D2A0A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وفيه </w:t>
      </w:r>
      <w:r w:rsidR="00351259" w:rsidRPr="009844C3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4D2A0A" w:rsidRPr="009844C3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أفلح</w:t>
      </w:r>
      <w:proofErr w:type="gramEnd"/>
      <w:r w:rsidR="004D2A0A" w:rsidRPr="009844C3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إن صدق</w:t>
      </w:r>
      <w:r w:rsidR="00351259" w:rsidRPr="009844C3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704B88" w:rsidRPr="009844C3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4D2A0A" w:rsidRPr="009844C3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="00704B88" w:rsidRPr="009844C3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4D2A0A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، وهو ما رواه الإمام مالك في الم</w:t>
      </w:r>
      <w:bookmarkStart w:id="0" w:name="_GoBack"/>
      <w:bookmarkEnd w:id="0"/>
      <w:r w:rsidR="004D2A0A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وطأ</w:t>
      </w:r>
      <w:r w:rsidR="00704B88" w:rsidRPr="009844C3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4D2A0A" w:rsidRPr="009844C3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3"/>
      </w:r>
      <w:r w:rsidR="00704B88" w:rsidRPr="009844C3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4D2A0A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،هذا وقد روى الحديث من الصحابة غير أبي طلحة </w:t>
      </w:r>
      <w:r w:rsidR="009844C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رضي الله عنه</w:t>
      </w:r>
      <w:r w:rsidR="004D2A0A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، كلهم بدون الحلف بغير الله تعالى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4D2A0A" w:rsidRPr="009844C3" w:rsidRDefault="004D2A0A" w:rsidP="009844C3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وبالتأمل فإن الرواية التي لم تتضمن الحلف بغير الله تعالى هي الأرجح، وذلك لأن رواية الإمام مالك قد جاءت في الصحيحين وهي في أكثر كتب السنة </w:t>
      </w:r>
      <w:r w:rsidR="00027046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ـ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بغير حلف </w:t>
      </w:r>
      <w:r w:rsidR="00027046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ـ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، أن الإمام مسلم قد روى الحديث من طريق مالك قبل طريق إسماعيل بن جعفر</w:t>
      </w:r>
      <w:r w:rsidR="00027046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مما يوضح أن رواية الإمام مالك أصح عنده وأرجح.</w:t>
      </w:r>
    </w:p>
    <w:p w:rsidR="00565E9F" w:rsidRPr="009844C3" w:rsidRDefault="00027046" w:rsidP="009844C3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9844C3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ثانيًا:</w:t>
      </w:r>
      <w:r w:rsidR="007339CB" w:rsidRPr="009844C3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4D2A0A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قال الإمام ابن عبد البر</w:t>
      </w:r>
      <w:proofErr w:type="gramStart"/>
      <w:r w:rsidR="004D2A0A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351259" w:rsidRPr="009844C3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4D2A0A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والحلف</w:t>
      </w:r>
      <w:proofErr w:type="gramEnd"/>
      <w:r w:rsidR="004D2A0A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بالمخلوقات كلها في حكم الحلف بالآباء، لا يجوز شيء من ذلك، فإن احتج</w:t>
      </w:r>
      <w:r w:rsidR="00565E9F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4D2A0A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</w:t>
      </w:r>
      <w:r w:rsidR="00565E9F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4D2A0A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ح</w:t>
      </w:r>
      <w:r w:rsidR="00565E9F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4D2A0A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تج</w:t>
      </w:r>
      <w:r w:rsidR="00565E9F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ٌّ</w:t>
      </w:r>
      <w:r w:rsidR="004D2A0A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بحديث </w:t>
      </w:r>
      <w:r w:rsidR="00565E9F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"</w:t>
      </w:r>
      <w:r w:rsidR="004D2A0A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إسماعيل بن جعفر</w:t>
      </w:r>
      <w:r w:rsidR="00565E9F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"</w:t>
      </w:r>
      <w:r w:rsidR="004D2A0A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 النبي </w:t>
      </w:r>
      <w:r w:rsid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="004D2A0A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قال: </w:t>
      </w:r>
      <w:r w:rsidR="00351259" w:rsidRPr="009844C3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4D2A0A" w:rsidRPr="009844C3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أفلح وأبيه إن صدق</w:t>
      </w:r>
      <w:r w:rsidR="00351259" w:rsidRPr="009844C3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4D2A0A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قيل له: هذه لفظة غير محفوظة في هذا الحديث من حديث من يحتج به</w:t>
      </w:r>
      <w:r w:rsidR="00565E9F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156848" w:rsidRPr="009844C3" w:rsidRDefault="004D2A0A" w:rsidP="009844C3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</w:rPr>
      </w:pP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lastRenderedPageBreak/>
        <w:t>وقد روى هذا الحديث مالك وغيره عن أبي سهيل لم يقولوا ذلك فيه، وقد ر</w:t>
      </w:r>
      <w:r w:rsidR="00565E9F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و</w:t>
      </w:r>
      <w:r w:rsidR="00565E9F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ي عن إسماعيل بن جعفر هذا الحديث وفيه</w:t>
      </w:r>
      <w:proofErr w:type="gramStart"/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351259" w:rsidRPr="009844C3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Pr="009844C3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أفلح</w:t>
      </w:r>
      <w:proofErr w:type="gramEnd"/>
      <w:r w:rsidRPr="009844C3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والله إن صدق</w:t>
      </w:r>
      <w:r w:rsidR="00351259" w:rsidRPr="009844C3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، أو </w:t>
      </w:r>
      <w:r w:rsidR="00351259" w:rsidRPr="009844C3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Pr="009844C3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دخل الجنة والله إن صدق</w:t>
      </w:r>
      <w:r w:rsidR="00351259" w:rsidRPr="009844C3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، وهذا أولى من رواية من روى </w:t>
      </w:r>
      <w:r w:rsidR="00351259" w:rsidRPr="009844C3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Pr="009844C3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وأبيه</w:t>
      </w:r>
      <w:r w:rsidR="00351259" w:rsidRPr="009844C3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، لأنها لفظة م</w:t>
      </w:r>
      <w:r w:rsidR="00565E9F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565E9F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ك</w:t>
      </w:r>
      <w:r w:rsidR="00565E9F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ر</w:t>
      </w:r>
      <w:r w:rsidR="00565E9F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ة ترد</w:t>
      </w:r>
      <w:r w:rsidR="00565E9F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ها الآثار</w:t>
      </w:r>
      <w:r w:rsidR="00565E9F"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الصحاح</w:t>
      </w:r>
      <w:r w:rsidR="00351259" w:rsidRPr="009844C3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704B88" w:rsidRPr="009844C3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9844C3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4"/>
      </w:r>
      <w:r w:rsidR="00704B88" w:rsidRPr="009844C3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9844C3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sectPr w:rsidR="00156848" w:rsidRPr="009844C3" w:rsidSect="00CB733B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9E4" w:rsidRDefault="000C29E4" w:rsidP="004D2A0A">
      <w:pPr>
        <w:spacing w:after="0" w:line="240" w:lineRule="auto"/>
      </w:pPr>
      <w:r>
        <w:separator/>
      </w:r>
    </w:p>
  </w:endnote>
  <w:endnote w:type="continuationSeparator" w:id="0">
    <w:p w:rsidR="000C29E4" w:rsidRDefault="000C29E4" w:rsidP="004D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9E4" w:rsidRDefault="000C29E4" w:rsidP="004D2A0A">
      <w:pPr>
        <w:spacing w:after="0" w:line="240" w:lineRule="auto"/>
      </w:pPr>
      <w:r>
        <w:separator/>
      </w:r>
    </w:p>
  </w:footnote>
  <w:footnote w:type="continuationSeparator" w:id="0">
    <w:p w:rsidR="000C29E4" w:rsidRDefault="000C29E4" w:rsidP="004D2A0A">
      <w:pPr>
        <w:spacing w:after="0" w:line="240" w:lineRule="auto"/>
      </w:pPr>
      <w:r>
        <w:continuationSeparator/>
      </w:r>
    </w:p>
  </w:footnote>
  <w:footnote w:id="1">
    <w:p w:rsidR="004D2A0A" w:rsidRPr="006B32CA" w:rsidRDefault="00565E9F" w:rsidP="00565E9F">
      <w:pPr>
        <w:pStyle w:val="a4"/>
        <w:jc w:val="both"/>
        <w:rPr>
          <w:rFonts w:ascii="Traditional Arabic" w:hAnsi="Traditional Arabic" w:cs="Traditional Arabic"/>
          <w:sz w:val="24"/>
          <w:szCs w:val="24"/>
          <w:rtl/>
          <w:lang w:bidi="ar-EG"/>
        </w:rPr>
      </w:pPr>
      <w:r w:rsidRPr="006B32C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D2A0A" w:rsidRPr="006B32CA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 w:rsidRPr="006B32CA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7339C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D2A0A" w:rsidRPr="006B32CA">
        <w:rPr>
          <w:rFonts w:ascii="Traditional Arabic" w:hAnsi="Traditional Arabic" w:cs="Traditional Arabic"/>
          <w:sz w:val="24"/>
          <w:szCs w:val="24"/>
          <w:rtl/>
          <w:lang w:bidi="ar-EG"/>
        </w:rPr>
        <w:t>سيأتي تخريج هذه الأحاديث مفصل</w:t>
      </w:r>
      <w:r w:rsidRPr="006B32CA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ً</w:t>
      </w:r>
      <w:r w:rsidR="004D2A0A" w:rsidRPr="006B32CA">
        <w:rPr>
          <w:rFonts w:ascii="Traditional Arabic" w:hAnsi="Traditional Arabic" w:cs="Traditional Arabic"/>
          <w:sz w:val="24"/>
          <w:szCs w:val="24"/>
          <w:rtl/>
          <w:lang w:bidi="ar-EG"/>
        </w:rPr>
        <w:t>ا في الجواب على الشبهة، وانظر في هذه الأحاديث وتوجيهها</w:t>
      </w:r>
      <w:r w:rsidRPr="006B32CA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 </w:t>
      </w:r>
      <w:proofErr w:type="spellStart"/>
      <w:r w:rsidRPr="006B32CA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في"</w:t>
      </w:r>
      <w:r w:rsidR="004D2A0A" w:rsidRPr="006B32CA">
        <w:rPr>
          <w:rFonts w:ascii="Traditional Arabic" w:hAnsi="Traditional Arabic" w:cs="Traditional Arabic"/>
          <w:sz w:val="24"/>
          <w:szCs w:val="24"/>
          <w:rtl/>
          <w:lang w:bidi="ar-EG"/>
        </w:rPr>
        <w:t>المرويات</w:t>
      </w:r>
      <w:proofErr w:type="spellEnd"/>
      <w:r w:rsidR="004D2A0A" w:rsidRPr="006B32CA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الواردة في الحلف بالله أو بغيره</w:t>
      </w:r>
      <w:r w:rsidRPr="006B32CA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"</w:t>
      </w:r>
      <w:r w:rsidR="004D2A0A" w:rsidRPr="006B32CA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، </w:t>
      </w:r>
      <w:proofErr w:type="spellStart"/>
      <w:r w:rsidRPr="006B32CA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د.</w:t>
      </w:r>
      <w:r w:rsidR="004D2A0A" w:rsidRPr="006B32CA">
        <w:rPr>
          <w:rFonts w:ascii="Traditional Arabic" w:hAnsi="Traditional Arabic" w:cs="Traditional Arabic"/>
          <w:sz w:val="24"/>
          <w:szCs w:val="24"/>
          <w:rtl/>
          <w:lang w:bidi="ar-EG"/>
        </w:rPr>
        <w:t>باسم</w:t>
      </w:r>
      <w:proofErr w:type="spellEnd"/>
      <w:r w:rsidR="004D2A0A" w:rsidRPr="006B32CA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الجوابرة، ص</w:t>
      </w:r>
      <w:r w:rsidRPr="006B32CA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4D2A0A" w:rsidRPr="006B32CA">
        <w:rPr>
          <w:rFonts w:ascii="Traditional Arabic" w:hAnsi="Traditional Arabic" w:cs="Traditional Arabic"/>
          <w:sz w:val="24"/>
          <w:szCs w:val="24"/>
          <w:rtl/>
          <w:lang w:bidi="ar-EG"/>
        </w:rPr>
        <w:t>10054</w:t>
      </w:r>
      <w:r w:rsidRPr="006B32CA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4D2A0A" w:rsidRPr="006B32CA">
        <w:rPr>
          <w:rFonts w:ascii="Traditional Arabic" w:hAnsi="Traditional Arabic" w:cs="Traditional Arabic"/>
          <w:sz w:val="24"/>
          <w:szCs w:val="24"/>
          <w:rtl/>
          <w:lang w:bidi="ar-EG"/>
        </w:rPr>
        <w:t>، و</w:t>
      </w:r>
      <w:r w:rsidRPr="006B32CA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"</w:t>
      </w:r>
      <w:r w:rsidR="004D2A0A" w:rsidRPr="006B32CA">
        <w:rPr>
          <w:rFonts w:ascii="Traditional Arabic" w:hAnsi="Traditional Arabic" w:cs="Traditional Arabic"/>
          <w:sz w:val="24"/>
          <w:szCs w:val="24"/>
          <w:rtl/>
          <w:lang w:bidi="ar-EG"/>
        </w:rPr>
        <w:t>الحلف والإيمان</w:t>
      </w:r>
      <w:r w:rsidRPr="006B32CA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"</w:t>
      </w:r>
      <w:r w:rsidR="004D2A0A" w:rsidRPr="006B32CA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، بحث </w:t>
      </w:r>
      <w:proofErr w:type="spellStart"/>
      <w:r w:rsidRPr="006B32CA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د.</w:t>
      </w:r>
      <w:r w:rsidR="004D2A0A" w:rsidRPr="006B32CA">
        <w:rPr>
          <w:rFonts w:ascii="Traditional Arabic" w:hAnsi="Traditional Arabic" w:cs="Traditional Arabic"/>
          <w:sz w:val="24"/>
          <w:szCs w:val="24"/>
          <w:rtl/>
          <w:lang w:bidi="ar-EG"/>
        </w:rPr>
        <w:t>يوسف</w:t>
      </w:r>
      <w:proofErr w:type="spellEnd"/>
      <w:r w:rsidR="004D2A0A" w:rsidRPr="006B32CA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السعيد، مجلة جامعة الإمام، العدد 39، رجب 1423، ص</w:t>
      </w:r>
      <w:r w:rsidRPr="006B32CA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4D2A0A" w:rsidRPr="006B32CA">
        <w:rPr>
          <w:rFonts w:ascii="Traditional Arabic" w:hAnsi="Traditional Arabic" w:cs="Traditional Arabic"/>
          <w:sz w:val="24"/>
          <w:szCs w:val="24"/>
          <w:rtl/>
          <w:lang w:bidi="ar-EG"/>
        </w:rPr>
        <w:t>261-263</w:t>
      </w:r>
      <w:r w:rsidRPr="006B32CA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4D2A0A" w:rsidRPr="006B32CA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  <w:footnote w:id="2">
    <w:p w:rsidR="004D2A0A" w:rsidRPr="006B32CA" w:rsidRDefault="00565E9F" w:rsidP="00565E9F">
      <w:pPr>
        <w:pStyle w:val="a4"/>
        <w:jc w:val="both"/>
        <w:rPr>
          <w:rFonts w:ascii="Traditional Arabic" w:hAnsi="Traditional Arabic" w:cs="Traditional Arabic"/>
          <w:sz w:val="24"/>
          <w:szCs w:val="24"/>
          <w:rtl/>
          <w:lang w:bidi="ar-EG"/>
        </w:rPr>
      </w:pPr>
      <w:r w:rsidRPr="006B32CA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4D2A0A" w:rsidRPr="006B32CA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 w:rsidRPr="006B32CA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7339CB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 </w:t>
      </w:r>
      <w:r w:rsidRPr="006B32CA">
        <w:rPr>
          <w:rFonts w:ascii="Traditional Arabic" w:hAnsi="Traditional Arabic" w:cs="Traditional Arabic" w:hint="cs"/>
          <w:sz w:val="24"/>
          <w:szCs w:val="24"/>
          <w:rtl/>
        </w:rPr>
        <w:t xml:space="preserve">رواه مسلم، </w:t>
      </w:r>
      <w:r w:rsidR="004D2A0A" w:rsidRPr="006B32CA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كتاب الإيمان، باب بيان الصلوات التي هي أحد أركان الإسلام، </w:t>
      </w:r>
      <w:r w:rsidRPr="006B32CA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4D2A0A" w:rsidRPr="006B32CA">
        <w:rPr>
          <w:rFonts w:ascii="Traditional Arabic" w:hAnsi="Traditional Arabic" w:cs="Traditional Arabic"/>
          <w:sz w:val="24"/>
          <w:szCs w:val="24"/>
          <w:rtl/>
          <w:lang w:bidi="ar-EG"/>
        </w:rPr>
        <w:t>11</w:t>
      </w:r>
      <w:r w:rsidRPr="006B32CA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4D2A0A" w:rsidRPr="006B32CA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  <w:footnote w:id="3">
    <w:p w:rsidR="004D2A0A" w:rsidRPr="006B32CA" w:rsidRDefault="00565E9F" w:rsidP="00565E9F">
      <w:pPr>
        <w:pStyle w:val="a4"/>
        <w:jc w:val="both"/>
        <w:rPr>
          <w:rFonts w:ascii="Traditional Arabic" w:hAnsi="Traditional Arabic" w:cs="Traditional Arabic"/>
          <w:sz w:val="24"/>
          <w:szCs w:val="24"/>
          <w:rtl/>
          <w:lang w:bidi="ar-EG"/>
        </w:rPr>
      </w:pPr>
      <w:r w:rsidRPr="006B32CA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4D2A0A" w:rsidRPr="006B32CA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 w:rsidRPr="006B32CA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7339CB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 </w:t>
      </w:r>
      <w:r w:rsidR="0033074B" w:rsidRPr="006B32CA">
        <w:rPr>
          <w:rFonts w:ascii="Traditional Arabic" w:hAnsi="Traditional Arabic" w:cs="Traditional Arabic" w:hint="cs"/>
          <w:sz w:val="24"/>
          <w:szCs w:val="24"/>
          <w:rtl/>
        </w:rPr>
        <w:t xml:space="preserve">رواه مالك في الموطأ، </w:t>
      </w:r>
      <w:r w:rsidR="004D2A0A" w:rsidRPr="006B32CA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كتاب النداء للصلاة، باب جامع الترغيب في الصلاة، </w:t>
      </w:r>
      <w:r w:rsidRPr="006B32CA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4D2A0A" w:rsidRPr="006B32CA">
        <w:rPr>
          <w:rFonts w:ascii="Traditional Arabic" w:hAnsi="Traditional Arabic" w:cs="Traditional Arabic"/>
          <w:sz w:val="24"/>
          <w:szCs w:val="24"/>
          <w:rtl/>
          <w:lang w:bidi="ar-EG"/>
        </w:rPr>
        <w:t>425</w:t>
      </w:r>
      <w:r w:rsidRPr="006B32CA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4D2A0A" w:rsidRPr="006B32CA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  <w:footnote w:id="4">
    <w:p w:rsidR="004D2A0A" w:rsidRPr="006B32CA" w:rsidRDefault="00565E9F" w:rsidP="00565E9F">
      <w:pPr>
        <w:pStyle w:val="a4"/>
        <w:jc w:val="both"/>
        <w:rPr>
          <w:rFonts w:ascii="Traditional Arabic" w:hAnsi="Traditional Arabic" w:cs="Traditional Arabic"/>
          <w:sz w:val="24"/>
          <w:szCs w:val="24"/>
          <w:rtl/>
          <w:lang w:bidi="ar-EG"/>
        </w:rPr>
      </w:pPr>
      <w:r w:rsidRPr="006B32CA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4D2A0A" w:rsidRPr="006B32CA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 w:rsidRPr="006B32CA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7339CB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 </w:t>
      </w:r>
      <w:r w:rsidR="004D2A0A" w:rsidRPr="006B32CA">
        <w:rPr>
          <w:rFonts w:ascii="Traditional Arabic" w:hAnsi="Traditional Arabic" w:cs="Traditional Arabic"/>
          <w:sz w:val="24"/>
          <w:szCs w:val="24"/>
          <w:rtl/>
          <w:lang w:bidi="ar-EG"/>
        </w:rPr>
        <w:t>التمهيد،</w:t>
      </w:r>
      <w:r w:rsidRPr="006B32CA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 ابن عبد </w:t>
      </w:r>
      <w:proofErr w:type="gramStart"/>
      <w:r w:rsidRPr="006B32CA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البر،(</w:t>
      </w:r>
      <w:proofErr w:type="gramEnd"/>
      <w:r w:rsidR="004D2A0A" w:rsidRPr="006B32CA">
        <w:rPr>
          <w:rFonts w:ascii="Traditional Arabic" w:hAnsi="Traditional Arabic" w:cs="Traditional Arabic"/>
          <w:sz w:val="24"/>
          <w:szCs w:val="24"/>
          <w:rtl/>
          <w:lang w:bidi="ar-EG"/>
        </w:rPr>
        <w:t>14/366</w:t>
      </w:r>
      <w:r w:rsidRPr="006B32CA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4D2A0A" w:rsidRPr="006B32CA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306C2"/>
    <w:multiLevelType w:val="hybridMultilevel"/>
    <w:tmpl w:val="01AA409A"/>
    <w:lvl w:ilvl="0" w:tplc="1892E4A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A0A"/>
    <w:rsid w:val="00027046"/>
    <w:rsid w:val="000C29E4"/>
    <w:rsid w:val="000F492F"/>
    <w:rsid w:val="0013646C"/>
    <w:rsid w:val="00156848"/>
    <w:rsid w:val="001F0BA0"/>
    <w:rsid w:val="002078CA"/>
    <w:rsid w:val="00220D07"/>
    <w:rsid w:val="0033074B"/>
    <w:rsid w:val="00334A8C"/>
    <w:rsid w:val="00351259"/>
    <w:rsid w:val="0035172A"/>
    <w:rsid w:val="00380464"/>
    <w:rsid w:val="00474732"/>
    <w:rsid w:val="004D2A0A"/>
    <w:rsid w:val="00565E9F"/>
    <w:rsid w:val="00654666"/>
    <w:rsid w:val="006B32CA"/>
    <w:rsid w:val="00704B88"/>
    <w:rsid w:val="007339CB"/>
    <w:rsid w:val="009844C3"/>
    <w:rsid w:val="009F54AF"/>
    <w:rsid w:val="00B33DF3"/>
    <w:rsid w:val="00B70A52"/>
    <w:rsid w:val="00BB321E"/>
    <w:rsid w:val="00CB733B"/>
    <w:rsid w:val="00DF26A6"/>
    <w:rsid w:val="00EB0CF2"/>
    <w:rsid w:val="00F05D95"/>
    <w:rsid w:val="00F37F5B"/>
    <w:rsid w:val="00F520FB"/>
    <w:rsid w:val="00F63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BE9268-C826-4F80-8963-765DC4A9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A0A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4D2A0A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4D2A0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D2A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ayman mesbah</cp:lastModifiedBy>
  <cp:revision>19</cp:revision>
  <dcterms:created xsi:type="dcterms:W3CDTF">2016-03-01T13:35:00Z</dcterms:created>
  <dcterms:modified xsi:type="dcterms:W3CDTF">2016-07-01T02:56:00Z</dcterms:modified>
</cp:coreProperties>
</file>