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E4" w:rsidRPr="005369C5" w:rsidRDefault="005369C5" w:rsidP="005369C5">
      <w:pPr>
        <w:spacing w:before="120" w:after="160" w:line="240" w:lineRule="auto"/>
        <w:ind w:firstLine="26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5369C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هل يجوز التشاؤم والطيرة؟</w:t>
      </w:r>
    </w:p>
    <w:p w:rsidR="00AE2496" w:rsidRPr="005369C5" w:rsidRDefault="00AE2496" w:rsidP="005369C5">
      <w:pPr>
        <w:spacing w:before="120" w:after="16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يستدل المبتدعة على جواز التشاؤم والطيرة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بالنصوص والآثار التي قد ي</w:t>
      </w:r>
      <w:r w:rsidR="0075279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فهم منها تقرير التشاؤم</w:t>
      </w:r>
      <w:r w:rsidR="0075279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ومن تلك النصوص قول النبي </w:t>
      </w:r>
      <w:r w:rsid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proofErr w:type="gramStart"/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C777E8" w:rsidRPr="005369C5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>إنما</w:t>
      </w:r>
      <w:proofErr w:type="gramEnd"/>
      <w:r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 xml:space="preserve"> الشؤم في ثلاثة: في الفرس والمرأة والدار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«</w:t>
      </w:r>
      <w:r w:rsidR="00752794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5369C5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752794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AE2496" w:rsidRPr="005369C5" w:rsidRDefault="00AE2496" w:rsidP="005369C5">
      <w:pPr>
        <w:spacing w:before="120" w:after="160" w:line="240" w:lineRule="auto"/>
        <w:ind w:firstLine="2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5369C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الرد:</w:t>
      </w:r>
    </w:p>
    <w:p w:rsidR="00AE2496" w:rsidRPr="005369C5" w:rsidRDefault="00752794" w:rsidP="005369C5">
      <w:pPr>
        <w:spacing w:before="120" w:after="16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5369C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C777E8" w:rsidRPr="005369C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EG"/>
        </w:rPr>
        <w:t xml:space="preserve"> 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أصل الحديث حكاية لقول اليهود أو المشركين وبيان مذهبهم الباطل في ذلك، ولكن قد ر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الحديث بدون ما يدل على الحكاية، ودليل ذلك ما رواه قتادة عن أبي حسان قال: دخل رجلان من بني عامر على عائشة 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رضي الله عنها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فأخبراها أن أبا هريرة 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رضي الله عنه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حد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ث عن النبي 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أنه قال: 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»</w:t>
      </w:r>
      <w:r w:rsidR="00AE2496"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>الطيرة في الدار والمرأة والفرس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«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فغضبت، فطارت شقة منها في السماء وشقة في الأرض، وقالت: والذي نز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ل الفرقان على مح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قالها رسول الله 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قط، إنما قال: 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»</w:t>
      </w:r>
      <w:r w:rsidR="00AE2496"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>كان أهل الجاهلية يتطيرون من ذلك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«</w:t>
      </w:r>
      <w:r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AE2496" w:rsidRPr="005369C5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52794" w:rsidRPr="005369C5" w:rsidRDefault="00AE2496" w:rsidP="005369C5">
      <w:pPr>
        <w:pStyle w:val="a3"/>
        <w:spacing w:before="120" w:after="160" w:line="240" w:lineRule="auto"/>
        <w:ind w:left="0"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وفي رواية قالت: ولكن نبي الله 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كان يقول</w:t>
      </w:r>
      <w:proofErr w:type="gramStart"/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»</w:t>
      </w:r>
      <w:r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>كان</w:t>
      </w:r>
      <w:proofErr w:type="gramEnd"/>
      <w:r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 xml:space="preserve"> أهل الجاهلية يقولون: الطيرة في المرأة والدار والدابة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«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ثم قرأت عائشة </w:t>
      </w:r>
      <w:r w:rsidR="0075279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رضي الله عنها</w:t>
      </w:r>
      <w:r w:rsidR="0075279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5369C5" w:rsidRPr="005369C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{مَا أَصَابَ مِنْ مُصِيبَةٍ فِي الْأَرْضِ وَلَا فِي أَنْفُسِكُمْ إِلَّا فِي كِتَابٍ مِنْ قَبْلِ أَنْ نَبْرَأَهَا إِنَّ ذَلِكَ عَلَى اللَّهِ يَسِيرٌ}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[الحديد: 22]</w:t>
      </w:r>
      <w:r w:rsidR="005369C5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752794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5369C5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752794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F3218F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؛ 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فبناء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قول عائشة </w:t>
      </w:r>
      <w:r w:rsidR="00F3218F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رضي الله عنها</w:t>
      </w:r>
      <w:r w:rsidR="00F3218F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فالحديث ليس فيه تقرير </w:t>
      </w:r>
      <w:proofErr w:type="spellStart"/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للطيرة</w:t>
      </w:r>
      <w:proofErr w:type="spellEnd"/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، بل هو متضمن للنهي والتحذير من ذلك، إذ أن نسبة العمل لأهل الكفر والجاهلية دال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ٌّ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النهي.</w:t>
      </w:r>
    </w:p>
    <w:p w:rsidR="00752794" w:rsidRPr="005369C5" w:rsidRDefault="000B02E4" w:rsidP="005369C5">
      <w:pPr>
        <w:pStyle w:val="a3"/>
        <w:spacing w:before="120" w:after="160" w:line="240" w:lineRule="auto"/>
        <w:ind w:left="0"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proofErr w:type="spellStart"/>
      <w:proofErr w:type="gramStart"/>
      <w:r w:rsidRPr="005369C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</w:t>
      </w:r>
      <w:r w:rsidR="00752794" w:rsidRPr="005369C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:</w:t>
      </w:r>
      <w:r w:rsidR="00F306CA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قال</w:t>
      </w:r>
      <w:proofErr w:type="spellEnd"/>
      <w:proofErr w:type="gramEnd"/>
      <w:r w:rsidR="00F306CA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الإمام ابن جرير الطبري: </w:t>
      </w:r>
      <w:r w:rsidR="00C777E8" w:rsidRPr="005369C5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وأما قوله 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صلى الله عليه وسلم 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»</w:t>
      </w:r>
      <w:r w:rsidR="00AE2496"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>إن كان الشؤم في شيء ففي الدار والمرأة والفرس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«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، فإنه لم ي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ث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بذلك صحة الطيرة، بل إنما أخبر 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أن ذلك إن كان في شيء ففي هذه الثلاث، وذلك إلى النفي أقرب منه إلى الإيجاب، لأن قول القائل: إن كان في هذه الدار أحد فز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د، غير إثبات منه أن فيها زيدًا، بل ذلك من النفي أن يكون فيها زيد أقرب منه إلى الإثبات أن فيها زيدًا</w:t>
      </w:r>
      <w:r w:rsidR="00C777E8" w:rsidRPr="005369C5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AE2496" w:rsidRPr="005369C5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AE2496" w:rsidRPr="005369C5" w:rsidRDefault="00752794" w:rsidP="005369C5">
      <w:pPr>
        <w:pStyle w:val="a3"/>
        <w:spacing w:before="120" w:after="160" w:line="240" w:lineRule="auto"/>
        <w:ind w:left="0" w:firstLine="720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5369C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lastRenderedPageBreak/>
        <w:t>رابعًا:</w:t>
      </w:r>
      <w:r w:rsidR="00C777E8" w:rsidRPr="005369C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EG"/>
        </w:rPr>
        <w:t xml:space="preserve"> 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أن التطي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ر واقع على من تطي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ر، استدلال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 بحديث أنس 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رضي الله عنه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النبي </w:t>
      </w:r>
      <w:r w:rsidR="005369C5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قال</w:t>
      </w:r>
      <w:proofErr w:type="gramStart"/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C777E8" w:rsidRPr="005369C5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AE2496"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>لا</w:t>
      </w:r>
      <w:proofErr w:type="gramEnd"/>
      <w:r w:rsidR="00AE2496"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 xml:space="preserve"> طيرة، والطيرة على من تطي</w:t>
      </w:r>
      <w:r w:rsidR="000B02E4"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>َّ</w:t>
      </w:r>
      <w:r w:rsidR="00AE2496" w:rsidRPr="005369C5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>ر...</w:t>
      </w:r>
      <w:r w:rsidR="00C777E8" w:rsidRPr="005369C5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 xml:space="preserve"> «</w:t>
      </w:r>
      <w:r w:rsidR="00C777E8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0B02E4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AE2496" w:rsidRPr="005369C5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5"/>
      </w:r>
      <w:r w:rsidR="000B02E4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فقالوا: الشؤم بهذه الأشياء إنما يلحق من تشاءم بها وتطير بها، فيكون شؤمها عليه، ومن توكل على الله ولم يتشاءم بها ولم يتطير لم تكن </w:t>
      </w:r>
      <w:proofErr w:type="spellStart"/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مش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ئ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ومة</w:t>
      </w:r>
      <w:proofErr w:type="spellEnd"/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فقد يجعل الله تعالى تطي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ر العبد وتشاؤمه سبب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AE2496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ا لحلول المكروه به، كما يجعل الثقة والتوكل عليه وإفراده بالخوف والرجاء من أعظم الأسباب التي يدفع بها الشر المتطير به</w:t>
      </w:r>
      <w:r w:rsidR="000B02E4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AE2496" w:rsidRPr="005369C5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6"/>
      </w:r>
      <w:r w:rsidR="000B02E4" w:rsidRPr="005369C5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0B02E4" w:rsidRPr="005369C5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AE2496" w:rsidRPr="005369C5" w:rsidSect="00983DE2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A1" w:rsidRDefault="003709A1" w:rsidP="00AE2496">
      <w:pPr>
        <w:spacing w:after="0" w:line="240" w:lineRule="auto"/>
      </w:pPr>
      <w:r>
        <w:separator/>
      </w:r>
    </w:p>
  </w:endnote>
  <w:endnote w:type="continuationSeparator" w:id="0">
    <w:p w:rsidR="003709A1" w:rsidRDefault="003709A1" w:rsidP="00AE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A1" w:rsidRDefault="003709A1" w:rsidP="00AE2496">
      <w:pPr>
        <w:spacing w:after="0" w:line="240" w:lineRule="auto"/>
      </w:pPr>
      <w:r>
        <w:separator/>
      </w:r>
    </w:p>
  </w:footnote>
  <w:footnote w:type="continuationSeparator" w:id="0">
    <w:p w:rsidR="003709A1" w:rsidRDefault="003709A1" w:rsidP="00AE2496">
      <w:pPr>
        <w:spacing w:after="0" w:line="240" w:lineRule="auto"/>
      </w:pPr>
      <w:r>
        <w:continuationSeparator/>
      </w:r>
    </w:p>
  </w:footnote>
  <w:footnote w:id="1">
    <w:p w:rsidR="000B02E4" w:rsidRPr="000B02E4" w:rsidRDefault="000B02E4" w:rsidP="000B02E4">
      <w:pPr>
        <w:pStyle w:val="a4"/>
        <w:jc w:val="both"/>
        <w:rPr>
          <w:rFonts w:cs="Traditional Arabic"/>
          <w:sz w:val="24"/>
          <w:szCs w:val="24"/>
          <w:rtl/>
          <w:lang w:bidi="ar-EG"/>
        </w:rPr>
      </w:pPr>
      <w:r w:rsidRPr="000B02E4">
        <w:rPr>
          <w:rFonts w:cs="Traditional Arabic" w:hint="cs"/>
          <w:sz w:val="24"/>
          <w:szCs w:val="24"/>
          <w:rtl/>
        </w:rPr>
        <w:t xml:space="preserve"> </w:t>
      </w:r>
      <w:proofErr w:type="gramStart"/>
      <w:r w:rsidRPr="000B02E4">
        <w:rPr>
          <w:rFonts w:cs="Traditional Arabic" w:hint="cs"/>
          <w:sz w:val="24"/>
          <w:szCs w:val="24"/>
          <w:rtl/>
        </w:rPr>
        <w:t>(</w:t>
      </w:r>
      <w:r w:rsidRPr="000B02E4">
        <w:rPr>
          <w:rStyle w:val="a5"/>
          <w:rFonts w:cs="Traditional Arabic"/>
          <w:sz w:val="24"/>
          <w:szCs w:val="24"/>
          <w:vertAlign w:val="baseline"/>
        </w:rPr>
        <w:footnoteRef/>
      </w:r>
      <w:r w:rsidRPr="000B02E4">
        <w:rPr>
          <w:rFonts w:cs="Traditional Arabic" w:hint="cs"/>
          <w:sz w:val="24"/>
          <w:szCs w:val="24"/>
          <w:rtl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رواه</w:t>
      </w:r>
      <w:proofErr w:type="gram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</w:t>
      </w:r>
      <w:proofErr w:type="spellStart"/>
      <w:r w:rsidRPr="000B02E4">
        <w:rPr>
          <w:rFonts w:cs="Traditional Arabic" w:hint="cs"/>
          <w:sz w:val="24"/>
          <w:szCs w:val="24"/>
          <w:rtl/>
          <w:lang w:bidi="ar-EG"/>
        </w:rPr>
        <w:t>البخاري</w:t>
      </w:r>
      <w:r>
        <w:rPr>
          <w:rFonts w:cs="Traditional Arabic" w:hint="cs"/>
          <w:sz w:val="24"/>
          <w:szCs w:val="24"/>
          <w:rtl/>
          <w:lang w:bidi="ar-EG"/>
        </w:rPr>
        <w:t>،كتاب</w:t>
      </w:r>
      <w:proofErr w:type="spell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</w:t>
      </w:r>
      <w:proofErr w:type="spellStart"/>
      <w:r w:rsidRPr="000B02E4">
        <w:rPr>
          <w:rFonts w:cs="Traditional Arabic" w:hint="cs"/>
          <w:sz w:val="24"/>
          <w:szCs w:val="24"/>
          <w:rtl/>
          <w:lang w:bidi="ar-EG"/>
        </w:rPr>
        <w:t>الطب</w:t>
      </w:r>
      <w:r>
        <w:rPr>
          <w:rFonts w:cs="Traditional Arabic" w:hint="cs"/>
          <w:sz w:val="24"/>
          <w:szCs w:val="24"/>
          <w:rtl/>
          <w:lang w:bidi="ar-EG"/>
        </w:rPr>
        <w:t>،ب</w:t>
      </w:r>
      <w:r w:rsidRPr="000B02E4">
        <w:rPr>
          <w:rFonts w:cs="Traditional Arabic" w:hint="cs"/>
          <w:sz w:val="24"/>
          <w:szCs w:val="24"/>
          <w:rtl/>
          <w:lang w:bidi="ar-EG"/>
        </w:rPr>
        <w:t>اب</w:t>
      </w:r>
      <w:proofErr w:type="spell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لا عدوى</w:t>
      </w:r>
      <w:r>
        <w:rPr>
          <w:rFonts w:cs="Traditional Arabic" w:hint="cs"/>
          <w:sz w:val="24"/>
          <w:szCs w:val="24"/>
          <w:rtl/>
          <w:lang w:bidi="ar-EG"/>
        </w:rPr>
        <w:t>،(</w:t>
      </w:r>
      <w:r w:rsidRPr="000B02E4">
        <w:rPr>
          <w:rFonts w:cs="Traditional Arabic" w:hint="cs"/>
          <w:sz w:val="24"/>
          <w:szCs w:val="24"/>
          <w:rtl/>
          <w:lang w:bidi="ar-EG"/>
        </w:rPr>
        <w:t>5772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، ومسلم</w:t>
      </w:r>
      <w:r>
        <w:rPr>
          <w:rFonts w:cs="Traditional Arabic" w:hint="cs"/>
          <w:sz w:val="24"/>
          <w:szCs w:val="24"/>
          <w:rtl/>
          <w:lang w:bidi="ar-EG"/>
        </w:rPr>
        <w:t xml:space="preserve">، كتاب </w:t>
      </w:r>
      <w:r w:rsidRPr="000B02E4">
        <w:rPr>
          <w:rFonts w:cs="Traditional Arabic" w:hint="cs"/>
          <w:sz w:val="24"/>
          <w:szCs w:val="24"/>
          <w:rtl/>
          <w:lang w:bidi="ar-EG"/>
        </w:rPr>
        <w:t>السلام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Pr="000B02E4">
        <w:rPr>
          <w:rFonts w:cs="Traditional Arabic" w:hint="cs"/>
          <w:sz w:val="24"/>
          <w:szCs w:val="24"/>
          <w:rtl/>
          <w:lang w:bidi="ar-EG"/>
        </w:rPr>
        <w:t xml:space="preserve"> باب الطيرة والفأل وما يكون فيه الشؤم</w:t>
      </w:r>
      <w:r>
        <w:rPr>
          <w:rFonts w:cs="Traditional Arabic" w:hint="cs"/>
          <w:sz w:val="24"/>
          <w:szCs w:val="24"/>
          <w:rtl/>
          <w:lang w:bidi="ar-EG"/>
        </w:rPr>
        <w:t>،(</w:t>
      </w:r>
      <w:r w:rsidRPr="000B02E4">
        <w:rPr>
          <w:rFonts w:cs="Traditional Arabic" w:hint="cs"/>
          <w:sz w:val="24"/>
          <w:szCs w:val="24"/>
          <w:rtl/>
          <w:lang w:bidi="ar-EG"/>
        </w:rPr>
        <w:t>2225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2">
    <w:p w:rsidR="000B02E4" w:rsidRPr="000B02E4" w:rsidRDefault="000B02E4" w:rsidP="000B02E4">
      <w:pPr>
        <w:pStyle w:val="a4"/>
        <w:jc w:val="both"/>
        <w:rPr>
          <w:rFonts w:cs="Traditional Arabic"/>
          <w:sz w:val="24"/>
          <w:szCs w:val="24"/>
          <w:lang w:bidi="ar-EG"/>
        </w:rPr>
      </w:pPr>
      <w:proofErr w:type="gramStart"/>
      <w:r w:rsidRPr="000B02E4">
        <w:rPr>
          <w:rFonts w:cs="Traditional Arabic" w:hint="cs"/>
          <w:sz w:val="24"/>
          <w:szCs w:val="24"/>
          <w:rtl/>
        </w:rPr>
        <w:t>(</w:t>
      </w:r>
      <w:r w:rsidRPr="000B02E4">
        <w:rPr>
          <w:rStyle w:val="a5"/>
          <w:rFonts w:cs="Traditional Arabic"/>
          <w:sz w:val="24"/>
          <w:szCs w:val="24"/>
          <w:vertAlign w:val="baseline"/>
        </w:rPr>
        <w:footnoteRef/>
      </w:r>
      <w:r w:rsidRPr="000B02E4">
        <w:rPr>
          <w:rFonts w:cs="Traditional Arabic" w:hint="cs"/>
          <w:sz w:val="24"/>
          <w:szCs w:val="24"/>
          <w:rtl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رواه</w:t>
      </w:r>
      <w:proofErr w:type="gram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أحمد في مسند</w:t>
      </w:r>
      <w:r>
        <w:rPr>
          <w:rFonts w:cs="Traditional Arabic" w:hint="cs"/>
          <w:sz w:val="24"/>
          <w:szCs w:val="24"/>
          <w:rtl/>
          <w:lang w:bidi="ar-EG"/>
        </w:rPr>
        <w:t>ه،(</w:t>
      </w:r>
      <w:r w:rsidRPr="000B02E4">
        <w:rPr>
          <w:rFonts w:cs="Traditional Arabic" w:hint="cs"/>
          <w:sz w:val="24"/>
          <w:szCs w:val="24"/>
          <w:rtl/>
          <w:lang w:bidi="ar-EG"/>
        </w:rPr>
        <w:t>240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، والطحاوي في مشكل الآثار</w:t>
      </w:r>
      <w:r>
        <w:rPr>
          <w:rFonts w:cs="Traditional Arabic" w:hint="cs"/>
          <w:sz w:val="24"/>
          <w:szCs w:val="24"/>
          <w:rtl/>
          <w:lang w:bidi="ar-EG"/>
        </w:rPr>
        <w:t>،(</w:t>
      </w:r>
      <w:r w:rsidRPr="000B02E4">
        <w:rPr>
          <w:rFonts w:cs="Traditional Arabic" w:hint="cs"/>
          <w:sz w:val="24"/>
          <w:szCs w:val="24"/>
          <w:rtl/>
          <w:lang w:bidi="ar-EG"/>
        </w:rPr>
        <w:t>1/341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3">
    <w:p w:rsidR="000B02E4" w:rsidRPr="000B02E4" w:rsidRDefault="000B02E4" w:rsidP="000B02E4">
      <w:pPr>
        <w:pStyle w:val="a4"/>
        <w:jc w:val="both"/>
        <w:rPr>
          <w:rFonts w:cs="Traditional Arabic"/>
          <w:sz w:val="24"/>
          <w:szCs w:val="24"/>
          <w:rtl/>
          <w:lang w:bidi="ar-EG"/>
        </w:rPr>
      </w:pPr>
      <w:proofErr w:type="gramStart"/>
      <w:r w:rsidRPr="000B02E4">
        <w:rPr>
          <w:rFonts w:cs="Traditional Arabic" w:hint="cs"/>
          <w:sz w:val="24"/>
          <w:szCs w:val="24"/>
          <w:rtl/>
        </w:rPr>
        <w:t>(</w:t>
      </w:r>
      <w:r w:rsidRPr="000B02E4">
        <w:rPr>
          <w:rStyle w:val="a5"/>
          <w:rFonts w:cs="Traditional Arabic"/>
          <w:sz w:val="24"/>
          <w:szCs w:val="24"/>
          <w:vertAlign w:val="baseline"/>
        </w:rPr>
        <w:footnoteRef/>
      </w:r>
      <w:r w:rsidRPr="000B02E4">
        <w:rPr>
          <w:rFonts w:cs="Traditional Arabic" w:hint="cs"/>
          <w:sz w:val="24"/>
          <w:szCs w:val="24"/>
          <w:rtl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رواه</w:t>
      </w:r>
      <w:proofErr w:type="gram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أحمد في مسند</w:t>
      </w:r>
      <w:r>
        <w:rPr>
          <w:rFonts w:cs="Traditional Arabic" w:hint="cs"/>
          <w:sz w:val="24"/>
          <w:szCs w:val="24"/>
          <w:rtl/>
          <w:lang w:bidi="ar-EG"/>
        </w:rPr>
        <w:t>ه،(</w:t>
      </w:r>
      <w:r w:rsidRPr="000B02E4">
        <w:rPr>
          <w:rFonts w:cs="Traditional Arabic" w:hint="cs"/>
          <w:sz w:val="24"/>
          <w:szCs w:val="24"/>
          <w:rtl/>
          <w:lang w:bidi="ar-EG"/>
        </w:rPr>
        <w:t>6/246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، والحاكم في المستدرك</w:t>
      </w:r>
      <w:r>
        <w:rPr>
          <w:rFonts w:cs="Traditional Arabic" w:hint="cs"/>
          <w:sz w:val="24"/>
          <w:szCs w:val="24"/>
          <w:rtl/>
          <w:lang w:bidi="ar-EG"/>
        </w:rPr>
        <w:t>،(</w:t>
      </w:r>
      <w:r w:rsidRPr="000B02E4">
        <w:rPr>
          <w:rFonts w:cs="Traditional Arabic" w:hint="cs"/>
          <w:sz w:val="24"/>
          <w:szCs w:val="24"/>
          <w:rtl/>
          <w:lang w:bidi="ar-EG"/>
        </w:rPr>
        <w:t>2/521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 xml:space="preserve">، وصححه </w:t>
      </w:r>
      <w:proofErr w:type="spellStart"/>
      <w:r w:rsidRPr="000B02E4">
        <w:rPr>
          <w:rFonts w:cs="Traditional Arabic" w:hint="cs"/>
          <w:sz w:val="24"/>
          <w:szCs w:val="24"/>
          <w:rtl/>
          <w:lang w:bidi="ar-EG"/>
        </w:rPr>
        <w:t>ووافقه</w:t>
      </w:r>
      <w:proofErr w:type="spell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الذهبي، وصححه الألباني في </w:t>
      </w:r>
      <w:r>
        <w:rPr>
          <w:rFonts w:cs="Traditional Arabic" w:hint="cs"/>
          <w:sz w:val="24"/>
          <w:szCs w:val="24"/>
          <w:rtl/>
          <w:lang w:bidi="ar-EG"/>
        </w:rPr>
        <w:t>ال</w:t>
      </w:r>
      <w:r w:rsidRPr="000B02E4">
        <w:rPr>
          <w:rFonts w:cs="Traditional Arabic" w:hint="cs"/>
          <w:sz w:val="24"/>
          <w:szCs w:val="24"/>
          <w:rtl/>
          <w:lang w:bidi="ar-EG"/>
        </w:rPr>
        <w:t>سلسلة الصحيحة</w:t>
      </w:r>
      <w:r>
        <w:rPr>
          <w:rFonts w:cs="Traditional Arabic" w:hint="cs"/>
          <w:sz w:val="24"/>
          <w:szCs w:val="24"/>
          <w:rtl/>
          <w:lang w:bidi="ar-EG"/>
        </w:rPr>
        <w:t>،(</w:t>
      </w:r>
      <w:r w:rsidRPr="000B02E4">
        <w:rPr>
          <w:rFonts w:cs="Traditional Arabic" w:hint="cs"/>
          <w:sz w:val="24"/>
          <w:szCs w:val="24"/>
          <w:rtl/>
          <w:lang w:bidi="ar-EG"/>
        </w:rPr>
        <w:t>2/594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4">
    <w:p w:rsidR="000B02E4" w:rsidRPr="000B02E4" w:rsidRDefault="000B02E4" w:rsidP="000B02E4">
      <w:pPr>
        <w:pStyle w:val="a4"/>
        <w:jc w:val="both"/>
        <w:rPr>
          <w:rFonts w:cs="Traditional Arabic"/>
          <w:sz w:val="24"/>
          <w:szCs w:val="24"/>
          <w:rtl/>
          <w:lang w:bidi="ar-EG"/>
        </w:rPr>
      </w:pPr>
      <w:proofErr w:type="gramStart"/>
      <w:r w:rsidRPr="000B02E4">
        <w:rPr>
          <w:rFonts w:cs="Traditional Arabic" w:hint="cs"/>
          <w:sz w:val="24"/>
          <w:szCs w:val="24"/>
          <w:rtl/>
        </w:rPr>
        <w:t>(</w:t>
      </w:r>
      <w:r w:rsidRPr="000B02E4">
        <w:rPr>
          <w:rStyle w:val="a5"/>
          <w:rFonts w:cs="Traditional Arabic"/>
          <w:sz w:val="24"/>
          <w:szCs w:val="24"/>
          <w:vertAlign w:val="baseline"/>
        </w:rPr>
        <w:footnoteRef/>
      </w:r>
      <w:r w:rsidRPr="000B02E4">
        <w:rPr>
          <w:rFonts w:cs="Traditional Arabic" w:hint="cs"/>
          <w:sz w:val="24"/>
          <w:szCs w:val="24"/>
          <w:rtl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تهذيب</w:t>
      </w:r>
      <w:proofErr w:type="gram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الآثار</w:t>
      </w:r>
      <w:r>
        <w:rPr>
          <w:rFonts w:cs="Traditional Arabic" w:hint="cs"/>
          <w:sz w:val="24"/>
          <w:szCs w:val="24"/>
          <w:rtl/>
          <w:lang w:bidi="ar-EG"/>
        </w:rPr>
        <w:t>، الط</w:t>
      </w:r>
      <w:bookmarkStart w:id="0" w:name="_GoBack"/>
      <w:bookmarkEnd w:id="0"/>
      <w:r>
        <w:rPr>
          <w:rFonts w:cs="Traditional Arabic" w:hint="cs"/>
          <w:sz w:val="24"/>
          <w:szCs w:val="24"/>
          <w:rtl/>
          <w:lang w:bidi="ar-EG"/>
        </w:rPr>
        <w:t>بري،(</w:t>
      </w:r>
      <w:r w:rsidRPr="000B02E4">
        <w:rPr>
          <w:rFonts w:cs="Traditional Arabic" w:hint="cs"/>
          <w:sz w:val="24"/>
          <w:szCs w:val="24"/>
          <w:rtl/>
          <w:lang w:bidi="ar-EG"/>
        </w:rPr>
        <w:t>3/34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5">
    <w:p w:rsidR="000B02E4" w:rsidRPr="000B02E4" w:rsidRDefault="000B02E4" w:rsidP="000B02E4">
      <w:pPr>
        <w:pStyle w:val="a4"/>
        <w:jc w:val="both"/>
        <w:rPr>
          <w:rFonts w:cs="Traditional Arabic"/>
          <w:sz w:val="24"/>
          <w:szCs w:val="24"/>
          <w:rtl/>
          <w:lang w:bidi="ar-EG"/>
        </w:rPr>
      </w:pPr>
      <w:proofErr w:type="gramStart"/>
      <w:r w:rsidRPr="000B02E4">
        <w:rPr>
          <w:rFonts w:cs="Traditional Arabic" w:hint="cs"/>
          <w:sz w:val="24"/>
          <w:szCs w:val="24"/>
          <w:rtl/>
        </w:rPr>
        <w:t>(</w:t>
      </w:r>
      <w:r w:rsidRPr="000B02E4">
        <w:rPr>
          <w:rStyle w:val="a5"/>
          <w:rFonts w:cs="Traditional Arabic"/>
          <w:sz w:val="24"/>
          <w:szCs w:val="24"/>
          <w:vertAlign w:val="baseline"/>
        </w:rPr>
        <w:footnoteRef/>
      </w:r>
      <w:r w:rsidRPr="000B02E4">
        <w:rPr>
          <w:rFonts w:cs="Traditional Arabic" w:hint="cs"/>
          <w:sz w:val="24"/>
          <w:szCs w:val="24"/>
          <w:rtl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تقدم</w:t>
      </w:r>
      <w:proofErr w:type="gram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تخريجه ص 743، الحاشية 1</w:t>
      </w:r>
    </w:p>
  </w:footnote>
  <w:footnote w:id="6">
    <w:p w:rsidR="000B02E4" w:rsidRPr="000B02E4" w:rsidRDefault="000B02E4" w:rsidP="000B02E4">
      <w:pPr>
        <w:pStyle w:val="a4"/>
        <w:jc w:val="both"/>
        <w:rPr>
          <w:rFonts w:cs="Traditional Arabic"/>
          <w:sz w:val="24"/>
          <w:szCs w:val="24"/>
          <w:lang w:bidi="ar-EG"/>
        </w:rPr>
      </w:pPr>
      <w:proofErr w:type="gramStart"/>
      <w:r w:rsidRPr="000B02E4">
        <w:rPr>
          <w:rFonts w:cs="Traditional Arabic" w:hint="cs"/>
          <w:sz w:val="24"/>
          <w:szCs w:val="24"/>
          <w:rtl/>
        </w:rPr>
        <w:t>(</w:t>
      </w:r>
      <w:r w:rsidRPr="000B02E4">
        <w:rPr>
          <w:rStyle w:val="a5"/>
          <w:rFonts w:cs="Traditional Arabic"/>
          <w:sz w:val="24"/>
          <w:szCs w:val="24"/>
          <w:vertAlign w:val="baseline"/>
        </w:rPr>
        <w:footnoteRef/>
      </w:r>
      <w:r w:rsidRPr="000B02E4">
        <w:rPr>
          <w:rFonts w:cs="Traditional Arabic" w:hint="cs"/>
          <w:sz w:val="24"/>
          <w:szCs w:val="24"/>
          <w:rtl/>
        </w:rPr>
        <w:t>)</w:t>
      </w:r>
      <w:r w:rsidRPr="000B02E4">
        <w:rPr>
          <w:rFonts w:cs="Traditional Arabic" w:hint="cs"/>
          <w:sz w:val="24"/>
          <w:szCs w:val="24"/>
          <w:rtl/>
          <w:lang w:bidi="ar-EG"/>
        </w:rPr>
        <w:t>مفتاح</w:t>
      </w:r>
      <w:proofErr w:type="gramEnd"/>
      <w:r w:rsidRPr="000B02E4">
        <w:rPr>
          <w:rFonts w:cs="Traditional Arabic" w:hint="cs"/>
          <w:sz w:val="24"/>
          <w:szCs w:val="24"/>
          <w:rtl/>
          <w:lang w:bidi="ar-EG"/>
        </w:rPr>
        <w:t xml:space="preserve"> دار السعادة 2/256.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201D8"/>
    <w:multiLevelType w:val="hybridMultilevel"/>
    <w:tmpl w:val="C4B621A2"/>
    <w:lvl w:ilvl="0" w:tplc="9FD05CD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96"/>
    <w:rsid w:val="00093096"/>
    <w:rsid w:val="000B02E4"/>
    <w:rsid w:val="001B241E"/>
    <w:rsid w:val="002078CA"/>
    <w:rsid w:val="00305544"/>
    <w:rsid w:val="00352B44"/>
    <w:rsid w:val="003708D1"/>
    <w:rsid w:val="003709A1"/>
    <w:rsid w:val="005369C5"/>
    <w:rsid w:val="00580A7C"/>
    <w:rsid w:val="00707E8C"/>
    <w:rsid w:val="00752794"/>
    <w:rsid w:val="007802F3"/>
    <w:rsid w:val="008A3FAE"/>
    <w:rsid w:val="00983DE2"/>
    <w:rsid w:val="00AE2496"/>
    <w:rsid w:val="00C777E8"/>
    <w:rsid w:val="00CF4D0E"/>
    <w:rsid w:val="00ED5BCD"/>
    <w:rsid w:val="00F23C71"/>
    <w:rsid w:val="00F306CA"/>
    <w:rsid w:val="00F3218F"/>
    <w:rsid w:val="00F444AC"/>
    <w:rsid w:val="00FC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E62536-48AE-4205-8BEE-10B69DC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9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AE249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AE249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2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2</cp:revision>
  <dcterms:created xsi:type="dcterms:W3CDTF">2016-07-10T20:38:00Z</dcterms:created>
  <dcterms:modified xsi:type="dcterms:W3CDTF">2016-07-10T20:38:00Z</dcterms:modified>
</cp:coreProperties>
</file>