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A5" w:rsidRPr="00977732" w:rsidRDefault="004E1BA5" w:rsidP="00977732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تبرير</w:t>
      </w:r>
      <w:r w:rsidR="00163052"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ُ</w:t>
      </w: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 xml:space="preserve"> الغلو</w:t>
      </w:r>
      <w:r w:rsidR="00163052"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ِّ</w:t>
      </w: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 xml:space="preserve"> في النبي</w:t>
      </w:r>
      <w:r w:rsidR="00163052"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ِّ</w:t>
      </w: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D62846"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صلى الله عليه وسلم</w:t>
      </w: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 xml:space="preserve"> بدافع</w:t>
      </w:r>
      <w:r w:rsidR="00163052"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ِ</w:t>
      </w: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 xml:space="preserve"> المحبة</w:t>
      </w:r>
      <w:r w:rsidR="00163052"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ِ</w:t>
      </w: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 xml:space="preserve"> و</w:t>
      </w:r>
      <w:r w:rsidR="00163052"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َ</w:t>
      </w: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التقدير</w:t>
      </w:r>
      <w:r w:rsidR="00163052"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ِ</w:t>
      </w:r>
    </w:p>
    <w:p w:rsidR="002603BB" w:rsidRDefault="002603BB" w:rsidP="00977732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يستدل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المبتدعة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تبرير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الغلو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الواقع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منهم</w:t>
      </w:r>
      <w:r w:rsid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بأن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دافع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المحبة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التقدير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مي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من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ينكر</w:t>
      </w:r>
      <w:r w:rsid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ذلك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الغلو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بالتنقيص</w:t>
      </w:r>
      <w:r w:rsid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د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النبي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6284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F71B5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الصالحين</w:t>
      </w:r>
      <w:r w:rsidR="004E1BA5" w:rsidRPr="004E1BA5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4E1BA5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4E1BA5" w:rsidRPr="004E1BA5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  <w:bookmarkStart w:id="0" w:name="_GoBack"/>
      <w:bookmarkEnd w:id="0"/>
    </w:p>
    <w:p w:rsidR="002603BB" w:rsidRPr="00D62846" w:rsidRDefault="002603BB" w:rsidP="00977732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</w:pPr>
      <w:r w:rsidRPr="00D62846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الرد:</w:t>
      </w:r>
    </w:p>
    <w:p w:rsidR="004E1BA5" w:rsidRDefault="004E1BA5" w:rsidP="00977732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أولًا: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ما أكثر ما تبرز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هذه الدعوى في تبرير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ما هم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فيه من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مخالفات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ظاهرة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قد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تصل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إلى الشرك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بالله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تعالى،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لكن ليست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العبرة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بمثل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تلك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الدعاوى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التهجمات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ليس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الدين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ي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ؤخذ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بالعواطف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الآراء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المحضة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وإنما ق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د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 النبي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62846">
        <w:rPr>
          <w:rFonts w:hint="cs"/>
          <w:rtl/>
          <w:lang w:bidi="ar-EG"/>
        </w:rPr>
        <w:t>صلى الله عليه وسلم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بيضاء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نقية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أمرنا بالرد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إليها عند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التنازع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كم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 ق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 w:rsidRPr="004E1BA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تعالى: 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فَإِنْ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تَنَازَعْتُمْ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فِي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شَيْءٍ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فَرُدُّوهُ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إِلَى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اللَّهِ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وَالرَّسُولِ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إِنْ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كُنْتُمْ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تُؤْمِنُونَ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بِاللَّهِ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وَالْيَوْمِ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الْآخِرِ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ذَلِكَ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خَيْرٌ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وَأَحْسَنُ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2603BB" w:rsidRPr="00D628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تَأْوِيلًا</w:t>
      </w:r>
      <w:r w:rsidR="002603BB" w:rsidRPr="00D628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}</w:t>
      </w:r>
      <w:r w:rsidR="002603BB" w:rsidRPr="004E1BA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2603BB" w:rsidRPr="004E1BA5">
        <w:rPr>
          <w:rFonts w:ascii="Traditional Arabic" w:hAnsi="Traditional Arabic" w:cs="Traditional Arabic"/>
          <w:rtl/>
          <w:lang w:bidi="ar-EG"/>
        </w:rPr>
        <w:t>[</w:t>
      </w:r>
      <w:r w:rsidR="002603BB" w:rsidRPr="004E1BA5">
        <w:rPr>
          <w:rFonts w:ascii="Traditional Arabic" w:hAnsi="Traditional Arabic" w:cs="Traditional Arabic" w:hint="cs"/>
          <w:rtl/>
          <w:lang w:bidi="ar-EG"/>
        </w:rPr>
        <w:t>النساء</w:t>
      </w:r>
      <w:r w:rsidR="002603BB" w:rsidRPr="004E1BA5">
        <w:rPr>
          <w:rFonts w:ascii="Traditional Arabic" w:hAnsi="Traditional Arabic" w:cs="Traditional Arabic"/>
          <w:rtl/>
          <w:lang w:bidi="ar-EG"/>
        </w:rPr>
        <w:t>: 59]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4E1BA5" w:rsidRDefault="004E1BA5" w:rsidP="00977732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ثانيًا</w:t>
      </w: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أهل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السن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ة لا ينكرون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 للنبي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6284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ْ 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فضائل جعل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ها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 له، فهو سيد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ولد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آدم، وهو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أول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شفيع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أول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ش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ع،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الذي يستفتح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باب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الجنة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فهذا باب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لا ي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از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فيه أحد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أهل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السنة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ولا ينبغي أن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جعل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المنازعة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فيه لت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الأنظار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إليه.</w:t>
      </w:r>
    </w:p>
    <w:p w:rsidR="002603BB" w:rsidRPr="00F71B55" w:rsidRDefault="004E1BA5" w:rsidP="00977732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9777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ثالثًا: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الذي ينكره أهل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الجماعة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هو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الغلو الذي م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 كان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6284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يرتضيه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لا يحب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ه، بل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د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جاء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بسد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كل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باب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ي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فض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 إليه، فيجب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أن يوقف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الكلام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عنده،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وز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بميزان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الشرع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أن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لا يزاحم بما ليس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منه أصلًا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</w:t>
      </w:r>
      <w:r w:rsidR="001630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لا من معناه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ليرى المخالف أنه مستمسك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ببقية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ح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ج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2603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sectPr w:rsidR="002603BB" w:rsidRPr="00F71B55" w:rsidSect="00D62846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44" w:rsidRDefault="00CF0044" w:rsidP="002603BB">
      <w:pPr>
        <w:spacing w:after="0" w:line="240" w:lineRule="auto"/>
      </w:pPr>
      <w:r>
        <w:separator/>
      </w:r>
    </w:p>
  </w:endnote>
  <w:endnote w:type="continuationSeparator" w:id="0">
    <w:p w:rsidR="00CF0044" w:rsidRDefault="00CF0044" w:rsidP="0026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44" w:rsidRDefault="00CF0044" w:rsidP="002603BB">
      <w:pPr>
        <w:spacing w:after="0" w:line="240" w:lineRule="auto"/>
      </w:pPr>
      <w:r>
        <w:separator/>
      </w:r>
    </w:p>
  </w:footnote>
  <w:footnote w:type="continuationSeparator" w:id="0">
    <w:p w:rsidR="00CF0044" w:rsidRDefault="00CF0044" w:rsidP="002603BB">
      <w:pPr>
        <w:spacing w:after="0" w:line="240" w:lineRule="auto"/>
      </w:pPr>
      <w:r>
        <w:continuationSeparator/>
      </w:r>
    </w:p>
  </w:footnote>
  <w:footnote w:id="1">
    <w:p w:rsidR="002603BB" w:rsidRPr="004E1BA5" w:rsidRDefault="004E1BA5" w:rsidP="004E1BA5">
      <w:pPr>
        <w:pStyle w:val="FootnoteText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E1BA5">
        <w:rPr>
          <w:rStyle w:val="FootnoteReference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2603BB" w:rsidRPr="004E1BA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603BB" w:rsidRPr="004E1BA5">
        <w:rPr>
          <w:rFonts w:ascii="Traditional Arabic" w:hAnsi="Traditional Arabic" w:cs="Traditional Arabic"/>
          <w:sz w:val="24"/>
          <w:szCs w:val="24"/>
          <w:rtl/>
          <w:lang w:bidi="ar-EG"/>
        </w:rPr>
        <w:t>انظر مثالًا على ذلك: شواهد الحق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2603BB" w:rsidRPr="004E1BA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="002603BB" w:rsidRPr="004E1BA5">
        <w:rPr>
          <w:rFonts w:ascii="Traditional Arabic" w:hAnsi="Traditional Arabic" w:cs="Traditional Arabic"/>
          <w:sz w:val="24"/>
          <w:szCs w:val="24"/>
          <w:rtl/>
          <w:lang w:bidi="ar-EG"/>
        </w:rPr>
        <w:t>لنبهاني،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2603BB" w:rsidRPr="004E1BA5">
        <w:rPr>
          <w:rFonts w:ascii="Traditional Arabic" w:hAnsi="Traditional Arabic" w:cs="Traditional Arabic"/>
          <w:sz w:val="24"/>
          <w:szCs w:val="24"/>
          <w:rtl/>
          <w:lang w:bidi="ar-EG"/>
        </w:rPr>
        <w:t>145-146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2603BB" w:rsidRPr="004E1BA5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3E5"/>
    <w:multiLevelType w:val="hybridMultilevel"/>
    <w:tmpl w:val="546895CE"/>
    <w:lvl w:ilvl="0" w:tplc="BA18B20E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3BB"/>
    <w:rsid w:val="00113575"/>
    <w:rsid w:val="00163052"/>
    <w:rsid w:val="002078CA"/>
    <w:rsid w:val="002603BB"/>
    <w:rsid w:val="002979AF"/>
    <w:rsid w:val="00343293"/>
    <w:rsid w:val="003819A8"/>
    <w:rsid w:val="004E1BA5"/>
    <w:rsid w:val="00971A08"/>
    <w:rsid w:val="00977732"/>
    <w:rsid w:val="00CF0044"/>
    <w:rsid w:val="00D62846"/>
    <w:rsid w:val="00F17AEA"/>
    <w:rsid w:val="00FF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8837F5-7DAC-487B-BE98-A3C118ED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3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603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03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3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Shiko</cp:lastModifiedBy>
  <cp:revision>7</cp:revision>
  <cp:lastPrinted>2017-02-08T16:28:00Z</cp:lastPrinted>
  <dcterms:created xsi:type="dcterms:W3CDTF">2016-03-01T17:05:00Z</dcterms:created>
  <dcterms:modified xsi:type="dcterms:W3CDTF">2017-02-08T16:28:00Z</dcterms:modified>
</cp:coreProperties>
</file>